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B6AE" w14:textId="321824AB" w:rsidR="00F63B4A" w:rsidRDefault="00F63B4A" w:rsidP="00F63B4A">
      <w:pPr>
        <w:widowControl w:val="0"/>
        <w:tabs>
          <w:tab w:val="left" w:pos="4005"/>
        </w:tabs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MODELO DE PROPOSTA</w:t>
      </w:r>
    </w:p>
    <w:p w14:paraId="6CC6EAB5" w14:textId="77777777" w:rsid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511039A0" w14:textId="54362236" w:rsidR="00F63B4A" w:rsidRPr="00C62987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A empresa.........................., estabelecida na (endereço completo, telefone, e endereço eletrônico, se houver), inscrita no CNPJ sob nº ......................................., neste ato representada por ........................................, cargo, RG........................., CPF........................, (endereço), vem por meio desta, apresentar Proposta de Preços ao </w:t>
      </w:r>
      <w:r>
        <w:rPr>
          <w:rFonts w:ascii="Cambria" w:eastAsia="Times New Roman" w:hAnsi="Cambria" w:cs="Times New Roman"/>
        </w:rPr>
        <w:t xml:space="preserve">Processo de Dispensa nº </w:t>
      </w:r>
      <w:r w:rsidR="005503C8">
        <w:rPr>
          <w:rFonts w:ascii="Cambria" w:eastAsia="Times New Roman" w:hAnsi="Cambria" w:cs="Times New Roman"/>
        </w:rPr>
        <w:t>2</w:t>
      </w:r>
      <w:r w:rsidR="00494700">
        <w:rPr>
          <w:rFonts w:ascii="Cambria" w:eastAsia="Times New Roman" w:hAnsi="Cambria" w:cs="Times New Roman"/>
        </w:rPr>
        <w:t>1</w:t>
      </w:r>
      <w:r>
        <w:rPr>
          <w:rFonts w:ascii="Cambria" w:eastAsia="Times New Roman" w:hAnsi="Cambria" w:cs="Times New Roman"/>
        </w:rPr>
        <w:t>/2025</w:t>
      </w:r>
      <w:r w:rsidRPr="00F63B4A">
        <w:rPr>
          <w:rFonts w:ascii="Cambria" w:eastAsia="Times New Roman" w:hAnsi="Cambria" w:cs="Times New Roman"/>
        </w:rPr>
        <w:t xml:space="preserve"> em epígrafe que tem por objeto </w:t>
      </w:r>
      <w:r w:rsidR="00CB305B">
        <w:rPr>
          <w:rFonts w:ascii="Cambria" w:eastAsia="Times New Roman" w:hAnsi="Cambria" w:cs="Times New Roman"/>
        </w:rPr>
        <w:t xml:space="preserve">a </w:t>
      </w:r>
      <w:r w:rsidR="0022516B">
        <w:rPr>
          <w:rFonts w:ascii="Cambria" w:eastAsia="Times New Roman" w:hAnsi="Cambria" w:cs="Times New Roman"/>
        </w:rPr>
        <w:t>contratação</w:t>
      </w:r>
      <w:r w:rsidR="0022516B" w:rsidRPr="0022516B">
        <w:rPr>
          <w:rFonts w:ascii="Cambria" w:eastAsia="Times New Roman" w:hAnsi="Cambria" w:cs="Times New Roman"/>
        </w:rPr>
        <w:t xml:space="preserve"> </w:t>
      </w:r>
      <w:r w:rsidR="00494700" w:rsidRPr="00494700">
        <w:rPr>
          <w:rFonts w:ascii="Cambria" w:eastAsia="Times New Roman" w:hAnsi="Cambria" w:cs="Times New Roman"/>
        </w:rPr>
        <w:t>empresa especializada para o fornecimento e montagem de arranjos florais ornamentais, todos naturais, destinados ao uso nas solenidades oficiais, eventos institucionais e sessões solenes da Câmara Municipal de Francisco Beltrão – PR, visando assegurar ambientação adequada, valorização estética dos ambientes e fortalecimento da imagem institucional da Casa Legislativa</w:t>
      </w:r>
      <w:r w:rsidRPr="00C62987">
        <w:rPr>
          <w:rFonts w:ascii="Cambria" w:eastAsia="Times New Roman" w:hAnsi="Cambria" w:cs="Times New Roman"/>
        </w:rPr>
        <w:t>, conforme segue:</w:t>
      </w:r>
    </w:p>
    <w:p w14:paraId="0E2734F4" w14:textId="06CAE82A" w:rsidR="00B45AFE" w:rsidRDefault="00B45AFE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913"/>
        <w:gridCol w:w="807"/>
        <w:gridCol w:w="3264"/>
        <w:gridCol w:w="807"/>
        <w:gridCol w:w="744"/>
        <w:gridCol w:w="451"/>
        <w:gridCol w:w="1070"/>
        <w:gridCol w:w="1071"/>
      </w:tblGrid>
      <w:tr w:rsidR="00494700" w:rsidRPr="00494700" w14:paraId="67A52AA0" w14:textId="77777777" w:rsidTr="00716397">
        <w:trPr>
          <w:trHeight w:val="328"/>
        </w:trPr>
        <w:tc>
          <w:tcPr>
            <w:tcW w:w="223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89C38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4" w:type="pct"/>
            <w:shd w:val="clear" w:color="auto" w:fill="D9D9D9"/>
          </w:tcPr>
          <w:p w14:paraId="269DE1CB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proofErr w:type="spellStart"/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Catmat</w:t>
            </w:r>
            <w:proofErr w:type="spellEnd"/>
          </w:p>
        </w:tc>
        <w:tc>
          <w:tcPr>
            <w:tcW w:w="422" w:type="pct"/>
            <w:shd w:val="clear" w:color="auto" w:fill="D9D9D9"/>
          </w:tcPr>
          <w:p w14:paraId="11EBED3C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714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8CB06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29" w:type="pct"/>
            <w:shd w:val="clear" w:color="auto" w:fill="D9D9D9"/>
          </w:tcPr>
          <w:p w14:paraId="3D916FCF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389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B2EBF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43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D0100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proofErr w:type="spellStart"/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Qtd</w:t>
            </w:r>
            <w:proofErr w:type="spellEnd"/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67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C058A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Valor unitário R$</w:t>
            </w:r>
          </w:p>
        </w:tc>
        <w:tc>
          <w:tcPr>
            <w:tcW w:w="567" w:type="pct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D3CE1" w14:textId="77777777" w:rsidR="00494700" w:rsidRPr="00494700" w:rsidRDefault="00494700" w:rsidP="0049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Valor total R$</w:t>
            </w:r>
          </w:p>
        </w:tc>
      </w:tr>
      <w:tr w:rsidR="00494700" w:rsidRPr="00494700" w14:paraId="6DD59052" w14:textId="77777777" w:rsidTr="007163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23" w:type="pct"/>
          </w:tcPr>
          <w:p w14:paraId="46612061" w14:textId="77777777" w:rsidR="00494700" w:rsidRPr="00494700" w:rsidRDefault="00494700" w:rsidP="00494700">
            <w:pPr>
              <w:spacing w:before="100"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</w:rPr>
              <w:t>01</w:t>
            </w:r>
          </w:p>
        </w:tc>
        <w:tc>
          <w:tcPr>
            <w:tcW w:w="444" w:type="pct"/>
          </w:tcPr>
          <w:p w14:paraId="1724046E" w14:textId="77777777" w:rsidR="00494700" w:rsidRPr="00494700" w:rsidRDefault="00494700" w:rsidP="0049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9470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607835 </w:t>
            </w:r>
          </w:p>
          <w:p w14:paraId="5BCAA59C" w14:textId="77777777" w:rsidR="00494700" w:rsidRPr="00494700" w:rsidRDefault="00494700" w:rsidP="00494700">
            <w:pPr>
              <w:spacing w:after="0" w:line="240" w:lineRule="auto"/>
              <w:jc w:val="both"/>
              <w:rPr>
                <w:rFonts w:ascii="Cambria" w:eastAsiaTheme="minorEastAsia" w:hAnsi="Cambria"/>
                <w:sz w:val="20"/>
                <w:szCs w:val="20"/>
              </w:rPr>
            </w:pPr>
          </w:p>
          <w:p w14:paraId="08402D9D" w14:textId="77777777" w:rsidR="00494700" w:rsidRPr="00494700" w:rsidRDefault="00494700" w:rsidP="00494700">
            <w:pPr>
              <w:rPr>
                <w:rFonts w:ascii="Cambria" w:hAnsi="Cambria"/>
                <w:sz w:val="20"/>
                <w:szCs w:val="20"/>
              </w:rPr>
            </w:pPr>
          </w:p>
          <w:p w14:paraId="21228EA5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22" w:type="pct"/>
          </w:tcPr>
          <w:p w14:paraId="45C702AB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 w:cs="Arial"/>
                <w:sz w:val="20"/>
                <w:szCs w:val="20"/>
              </w:rPr>
              <w:t>96982</w:t>
            </w:r>
          </w:p>
        </w:tc>
        <w:tc>
          <w:tcPr>
            <w:tcW w:w="1714" w:type="pct"/>
          </w:tcPr>
          <w:p w14:paraId="7EBE32D5" w14:textId="77777777" w:rsidR="00494700" w:rsidRPr="00494700" w:rsidRDefault="00494700" w:rsidP="00494700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/>
                <w:b/>
                <w:bCs/>
                <w:sz w:val="20"/>
                <w:szCs w:val="20"/>
              </w:rPr>
              <w:t>Arranjo de flores naturais para mesa:</w:t>
            </w:r>
            <w:r w:rsidRPr="00494700">
              <w:rPr>
                <w:rFonts w:ascii="Cambria" w:hAnsi="Cambria"/>
                <w:sz w:val="20"/>
                <w:szCs w:val="20"/>
              </w:rPr>
              <w:br/>
              <w:t xml:space="preserve">Arranjo de tamanho médio, confeccionado com flores naturais selecionadas, composto por 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astromélias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 xml:space="preserve">, crisântemos, 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pinóquio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>, gipsófila, rosa chá, lírio (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lilium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>), rosas cor-de-rosa, rosas vermelhas, áster e margaridas, complementado com folhagens ornamentais. Montado sobre base em espuma floral hidratada, com dimensões aproximadas de 60 cm x 90 cm, garantindo frescor, durabilidade e harmonia estética.</w:t>
            </w:r>
          </w:p>
        </w:tc>
        <w:tc>
          <w:tcPr>
            <w:tcW w:w="429" w:type="pct"/>
          </w:tcPr>
          <w:p w14:paraId="61B117FA" w14:textId="77777777" w:rsidR="00494700" w:rsidRPr="00494700" w:rsidRDefault="00494700" w:rsidP="004947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UN</w:t>
            </w:r>
          </w:p>
        </w:tc>
        <w:tc>
          <w:tcPr>
            <w:tcW w:w="389" w:type="pct"/>
          </w:tcPr>
          <w:p w14:paraId="61F1C2BC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12C89C3D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351E7FE4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6E1D1C5A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494700" w:rsidRPr="00494700" w14:paraId="4A10BB61" w14:textId="77777777" w:rsidTr="007163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23" w:type="pct"/>
          </w:tcPr>
          <w:p w14:paraId="350E7BB9" w14:textId="77777777" w:rsidR="00494700" w:rsidRPr="00494700" w:rsidRDefault="00494700" w:rsidP="00494700">
            <w:pPr>
              <w:spacing w:before="100"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</w:rPr>
              <w:t>02</w:t>
            </w:r>
          </w:p>
        </w:tc>
        <w:tc>
          <w:tcPr>
            <w:tcW w:w="444" w:type="pct"/>
          </w:tcPr>
          <w:p w14:paraId="07AD2B46" w14:textId="77777777" w:rsidR="00494700" w:rsidRPr="00494700" w:rsidRDefault="00494700" w:rsidP="00494700">
            <w:pPr>
              <w:widowControl w:val="0"/>
              <w:autoSpaceDE w:val="0"/>
              <w:autoSpaceDN w:val="0"/>
              <w:spacing w:after="0" w:line="240" w:lineRule="auto"/>
              <w:ind w:left="218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pt-PT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  <w:lang w:val="pt-PT"/>
              </w:rPr>
              <w:t xml:space="preserve">605164 </w:t>
            </w:r>
          </w:p>
          <w:p w14:paraId="1961BF59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22" w:type="pct"/>
          </w:tcPr>
          <w:p w14:paraId="55F68588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 w:cs="Arial"/>
                <w:sz w:val="20"/>
                <w:szCs w:val="20"/>
              </w:rPr>
              <w:t>96983</w:t>
            </w:r>
          </w:p>
        </w:tc>
        <w:tc>
          <w:tcPr>
            <w:tcW w:w="1714" w:type="pct"/>
          </w:tcPr>
          <w:p w14:paraId="6D6DA831" w14:textId="77777777" w:rsidR="00494700" w:rsidRPr="00494700" w:rsidRDefault="00494700" w:rsidP="00494700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 w:cs="Arial"/>
                <w:b/>
                <w:bCs/>
                <w:sz w:val="20"/>
                <w:szCs w:val="20"/>
              </w:rPr>
              <w:t>Arranjo médio de flores tropicais para chão:</w:t>
            </w:r>
            <w:r w:rsidRPr="00494700">
              <w:rPr>
                <w:rFonts w:ascii="Cambria" w:hAnsi="Cambria" w:cs="Arial"/>
                <w:sz w:val="20"/>
                <w:szCs w:val="20"/>
              </w:rPr>
              <w:br/>
              <w:t xml:space="preserve">Arranjo de porte médio destinado à ornamentação em frente à mesa de solenidade, confeccionado com flores tropicais selecionadas, composto por </w:t>
            </w:r>
            <w:proofErr w:type="spellStart"/>
            <w:r w:rsidRPr="00494700">
              <w:rPr>
                <w:rFonts w:ascii="Cambria" w:hAnsi="Cambria" w:cs="Arial"/>
                <w:sz w:val="20"/>
                <w:szCs w:val="20"/>
              </w:rPr>
              <w:t>strelitzia</w:t>
            </w:r>
            <w:proofErr w:type="spellEnd"/>
            <w:r w:rsidRPr="00494700">
              <w:rPr>
                <w:rFonts w:ascii="Cambria" w:hAnsi="Cambria" w:cs="Arial"/>
                <w:sz w:val="20"/>
                <w:szCs w:val="20"/>
              </w:rPr>
              <w:t xml:space="preserve">, helicônias, bastão do imperador, </w:t>
            </w:r>
            <w:proofErr w:type="spellStart"/>
            <w:r w:rsidRPr="00494700">
              <w:rPr>
                <w:rFonts w:ascii="Cambria" w:hAnsi="Cambria" w:cs="Arial"/>
                <w:sz w:val="20"/>
                <w:szCs w:val="20"/>
              </w:rPr>
              <w:t>alpínias</w:t>
            </w:r>
            <w:proofErr w:type="spellEnd"/>
            <w:r w:rsidRPr="00494700">
              <w:rPr>
                <w:rFonts w:ascii="Cambria" w:hAnsi="Cambria" w:cs="Arial"/>
                <w:sz w:val="20"/>
                <w:szCs w:val="20"/>
              </w:rPr>
              <w:t xml:space="preserve"> e antúrios, complementado com acabamento em folhagens verdes ornamentais. Montado sobre base em espuma floral hidratada, com dimensões aproximadas de 1,00 m de largura por 60 cm de altura, assegurando frescor, durabilidade e harmonia estética do ambiente.</w:t>
            </w:r>
          </w:p>
        </w:tc>
        <w:tc>
          <w:tcPr>
            <w:tcW w:w="429" w:type="pct"/>
          </w:tcPr>
          <w:p w14:paraId="22DA4E52" w14:textId="77777777" w:rsidR="00494700" w:rsidRPr="00494700" w:rsidRDefault="00494700" w:rsidP="004947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UN</w:t>
            </w:r>
          </w:p>
        </w:tc>
        <w:tc>
          <w:tcPr>
            <w:tcW w:w="389" w:type="pct"/>
          </w:tcPr>
          <w:p w14:paraId="2BFB76A2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6902EC55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30315DA9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70E2DBA2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494700" w:rsidRPr="00494700" w14:paraId="03F6FD08" w14:textId="77777777" w:rsidTr="007163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23" w:type="pct"/>
          </w:tcPr>
          <w:p w14:paraId="7EF156DF" w14:textId="77777777" w:rsidR="00494700" w:rsidRPr="00494700" w:rsidRDefault="00494700" w:rsidP="00494700">
            <w:pPr>
              <w:spacing w:before="100"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</w:rPr>
              <w:t>03</w:t>
            </w:r>
          </w:p>
        </w:tc>
        <w:tc>
          <w:tcPr>
            <w:tcW w:w="444" w:type="pct"/>
          </w:tcPr>
          <w:p w14:paraId="0B9E92AA" w14:textId="77777777" w:rsidR="00494700" w:rsidRPr="00494700" w:rsidRDefault="00494700" w:rsidP="0049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9470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602700 </w:t>
            </w:r>
          </w:p>
          <w:p w14:paraId="5D6D3BBA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22" w:type="pct"/>
          </w:tcPr>
          <w:p w14:paraId="429942B6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 w:cs="Arial"/>
                <w:sz w:val="20"/>
                <w:szCs w:val="20"/>
              </w:rPr>
              <w:t>96984</w:t>
            </w:r>
          </w:p>
        </w:tc>
        <w:tc>
          <w:tcPr>
            <w:tcW w:w="1714" w:type="pct"/>
          </w:tcPr>
          <w:p w14:paraId="0CA1086D" w14:textId="77777777" w:rsidR="00494700" w:rsidRPr="00494700" w:rsidRDefault="00494700" w:rsidP="00494700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/>
                <w:b/>
                <w:bCs/>
                <w:sz w:val="20"/>
                <w:szCs w:val="20"/>
              </w:rPr>
              <w:t>Buquê de flores naturais:</w:t>
            </w:r>
            <w:r w:rsidRPr="00494700">
              <w:rPr>
                <w:rFonts w:ascii="Cambria" w:hAnsi="Cambria"/>
                <w:sz w:val="20"/>
                <w:szCs w:val="20"/>
              </w:rPr>
              <w:br/>
              <w:t xml:space="preserve">Buquê destinado a ocasiões especiais, confeccionado com 12 (doze) rosas vermelhas frescas, acompanhadas de complementos florais e folhagens ornamentais, embalado e decorado em cores variadas, garantindo </w:t>
            </w:r>
            <w:r w:rsidRPr="00494700">
              <w:rPr>
                <w:rFonts w:ascii="Cambria" w:hAnsi="Cambria"/>
                <w:sz w:val="20"/>
                <w:szCs w:val="20"/>
              </w:rPr>
              <w:lastRenderedPageBreak/>
              <w:t>apresentação elegante, harmonia estética e durabilidade.</w:t>
            </w:r>
          </w:p>
        </w:tc>
        <w:tc>
          <w:tcPr>
            <w:tcW w:w="429" w:type="pct"/>
          </w:tcPr>
          <w:p w14:paraId="18CCFBF1" w14:textId="77777777" w:rsidR="00494700" w:rsidRPr="00494700" w:rsidRDefault="00494700" w:rsidP="004947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lastRenderedPageBreak/>
              <w:t>UN</w:t>
            </w:r>
          </w:p>
        </w:tc>
        <w:tc>
          <w:tcPr>
            <w:tcW w:w="389" w:type="pct"/>
          </w:tcPr>
          <w:p w14:paraId="0AEA04D3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4EC7D5F0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6367365F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099DC0B8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494700" w:rsidRPr="00494700" w14:paraId="1394273C" w14:textId="77777777" w:rsidTr="0071639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23" w:type="pct"/>
          </w:tcPr>
          <w:p w14:paraId="3555D980" w14:textId="77777777" w:rsidR="00494700" w:rsidRPr="00494700" w:rsidRDefault="00494700" w:rsidP="00494700">
            <w:pPr>
              <w:spacing w:before="100"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494700">
              <w:rPr>
                <w:rFonts w:ascii="Cambria" w:eastAsia="Times New Roman" w:hAnsi="Cambria" w:cs="Times New Roman"/>
                <w:sz w:val="20"/>
                <w:szCs w:val="20"/>
              </w:rPr>
              <w:t>04</w:t>
            </w:r>
          </w:p>
        </w:tc>
        <w:tc>
          <w:tcPr>
            <w:tcW w:w="444" w:type="pct"/>
          </w:tcPr>
          <w:p w14:paraId="3985C2D1" w14:textId="77777777" w:rsidR="00494700" w:rsidRPr="00494700" w:rsidRDefault="00494700" w:rsidP="0049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9470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610262 </w:t>
            </w:r>
          </w:p>
          <w:p w14:paraId="5B8F920F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22" w:type="pct"/>
          </w:tcPr>
          <w:p w14:paraId="2DE323E4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 w:cs="Arial"/>
                <w:sz w:val="20"/>
                <w:szCs w:val="20"/>
              </w:rPr>
              <w:t>96985</w:t>
            </w:r>
          </w:p>
        </w:tc>
        <w:tc>
          <w:tcPr>
            <w:tcW w:w="1714" w:type="pct"/>
          </w:tcPr>
          <w:p w14:paraId="7DE49E84" w14:textId="77777777" w:rsidR="00494700" w:rsidRPr="00494700" w:rsidRDefault="00494700" w:rsidP="00494700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hAnsi="Cambria"/>
                <w:b/>
                <w:bCs/>
                <w:sz w:val="20"/>
                <w:szCs w:val="20"/>
              </w:rPr>
              <w:t>Arranjo de flores naturais para uso em pedestal:</w:t>
            </w:r>
            <w:r w:rsidRPr="00494700">
              <w:rPr>
                <w:rFonts w:ascii="Cambria" w:hAnsi="Cambria"/>
                <w:sz w:val="20"/>
                <w:szCs w:val="20"/>
              </w:rPr>
              <w:br/>
              <w:t xml:space="preserve">Arranjo confeccionado com flores naturais selecionadas, composto por 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astromélias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lisianthus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 xml:space="preserve">, mini margaridas, </w:t>
            </w:r>
            <w:proofErr w:type="spellStart"/>
            <w:r w:rsidRPr="00494700">
              <w:rPr>
                <w:rFonts w:ascii="Cambria" w:hAnsi="Cambria"/>
                <w:sz w:val="20"/>
                <w:szCs w:val="20"/>
              </w:rPr>
              <w:t>pinóquio</w:t>
            </w:r>
            <w:proofErr w:type="spellEnd"/>
            <w:r w:rsidRPr="00494700">
              <w:rPr>
                <w:rFonts w:ascii="Cambria" w:hAnsi="Cambria"/>
                <w:sz w:val="20"/>
                <w:szCs w:val="20"/>
              </w:rPr>
              <w:t xml:space="preserve"> e gipsófila, em cores variadas, com acabamento em tango ou gipsófila e folhagens verdes ornamentais. Montado sobre base em espuma floral hidratada, com dimensão aproximada de 60 cm, garantindo frescor, harmonia estética e adequada apresentação em pedestal.</w:t>
            </w:r>
          </w:p>
        </w:tc>
        <w:tc>
          <w:tcPr>
            <w:tcW w:w="429" w:type="pct"/>
          </w:tcPr>
          <w:p w14:paraId="46A2331A" w14:textId="77777777" w:rsidR="00494700" w:rsidRPr="00494700" w:rsidRDefault="00494700" w:rsidP="004947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UN</w:t>
            </w:r>
          </w:p>
        </w:tc>
        <w:tc>
          <w:tcPr>
            <w:tcW w:w="389" w:type="pct"/>
          </w:tcPr>
          <w:p w14:paraId="578F3DBE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94700">
              <w:rPr>
                <w:rFonts w:ascii="Cambria" w:eastAsia="Calibri" w:hAnsi="Cambria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2D407EF0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1E5279A8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5D11EBE9" w14:textId="77777777" w:rsidR="00494700" w:rsidRPr="00494700" w:rsidRDefault="00494700" w:rsidP="00494700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14:paraId="31395A84" w14:textId="77777777" w:rsidR="00192874" w:rsidRDefault="00192874"/>
    <w:p w14:paraId="20E79095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Informar Valor Total R$....</w:t>
      </w:r>
    </w:p>
    <w:p w14:paraId="6EA2579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507A6F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719DC4B8" w14:textId="5F39C344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A validade desta proposta é de 90 (noventa) dias corridos, contados da data da abertura </w:t>
      </w:r>
      <w:r>
        <w:rPr>
          <w:rFonts w:ascii="Cambria" w:eastAsia="Times New Roman" w:hAnsi="Cambria" w:cs="Times New Roman"/>
        </w:rPr>
        <w:t>das propostas.</w:t>
      </w:r>
    </w:p>
    <w:p w14:paraId="4C90C95E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98A052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EF543A5" w14:textId="77777777" w:rsidR="00F63B4A" w:rsidRPr="00F63B4A" w:rsidRDefault="00F63B4A" w:rsidP="00F63B4A">
      <w:pPr>
        <w:widowControl w:val="0"/>
        <w:numPr>
          <w:ilvl w:val="0"/>
          <w:numId w:val="1"/>
        </w:numPr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A apresentação da proposta implicará na plena aceitação das condições estabelecidas neste edital e seus anexos.</w:t>
      </w:r>
    </w:p>
    <w:p w14:paraId="523108E7" w14:textId="77777777" w:rsidR="00F63B4A" w:rsidRPr="00F63B4A" w:rsidRDefault="00F63B4A" w:rsidP="00F63B4A">
      <w:pPr>
        <w:widowControl w:val="0"/>
        <w:numPr>
          <w:ilvl w:val="0"/>
          <w:numId w:val="1"/>
        </w:numPr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Responsável pela assinatura do contrato ou da Ata de Registro de Preços:</w:t>
      </w:r>
    </w:p>
    <w:p w14:paraId="3E2F586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395FB3D3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Nome: ..........................................................................</w:t>
      </w:r>
    </w:p>
    <w:p w14:paraId="27826CE9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CPF: ..............................................................................</w:t>
      </w:r>
    </w:p>
    <w:p w14:paraId="5198F68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Endereço:</w:t>
      </w:r>
    </w:p>
    <w:p w14:paraId="743617E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Telefone</w:t>
      </w:r>
    </w:p>
    <w:p w14:paraId="5A4076C6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- </w:t>
      </w:r>
      <w:proofErr w:type="gramStart"/>
      <w:r w:rsidRPr="00F63B4A">
        <w:rPr>
          <w:rFonts w:ascii="Cambria" w:eastAsia="Times New Roman" w:hAnsi="Cambria" w:cs="Times New Roman"/>
        </w:rPr>
        <w:t>e-mail</w:t>
      </w:r>
      <w:proofErr w:type="gramEnd"/>
    </w:p>
    <w:p w14:paraId="7619730D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495FB3D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7783B56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12D2BF8E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_______________________________________________, ______________, ________________de 2025</w:t>
      </w:r>
    </w:p>
    <w:p w14:paraId="3A0B78BD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Local e Data</w:t>
      </w:r>
    </w:p>
    <w:p w14:paraId="6523AF71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</w:p>
    <w:p w14:paraId="250E788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</w:p>
    <w:p w14:paraId="37321A19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Assinatura do Responsável pela Empresa</w:t>
      </w:r>
    </w:p>
    <w:p w14:paraId="18200920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(nome legível/cargo)</w:t>
      </w:r>
    </w:p>
    <w:p w14:paraId="7AA3644F" w14:textId="77777777" w:rsidR="00F63B4A" w:rsidRDefault="00F63B4A"/>
    <w:sectPr w:rsidR="00F63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5663"/>
    <w:multiLevelType w:val="hybridMultilevel"/>
    <w:tmpl w:val="E2928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4A"/>
    <w:rsid w:val="00154135"/>
    <w:rsid w:val="00192874"/>
    <w:rsid w:val="0022516B"/>
    <w:rsid w:val="002544B2"/>
    <w:rsid w:val="002F6094"/>
    <w:rsid w:val="003F78D8"/>
    <w:rsid w:val="00494700"/>
    <w:rsid w:val="005503C8"/>
    <w:rsid w:val="006A164C"/>
    <w:rsid w:val="007A3303"/>
    <w:rsid w:val="007D5203"/>
    <w:rsid w:val="00B45AFE"/>
    <w:rsid w:val="00B9673D"/>
    <w:rsid w:val="00C32193"/>
    <w:rsid w:val="00C62987"/>
    <w:rsid w:val="00CB305B"/>
    <w:rsid w:val="00CF641C"/>
    <w:rsid w:val="00DA4A30"/>
    <w:rsid w:val="00E47988"/>
    <w:rsid w:val="00F52549"/>
    <w:rsid w:val="00F63B4A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233C"/>
  <w15:chartTrackingRefBased/>
  <w15:docId w15:val="{7B555911-A1C8-46B4-89B7-8F957714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9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92874"/>
    <w:pPr>
      <w:spacing w:after="0" w:line="240" w:lineRule="auto"/>
    </w:pPr>
    <w:rPr>
      <w:rFonts w:eastAsiaTheme="minorEastAsia"/>
      <w:lang w:eastAsia="pt-BR"/>
    </w:rPr>
  </w:style>
  <w:style w:type="character" w:customStyle="1" w:styleId="fadeinm1hgl8">
    <w:name w:val="_fadein_m1hgl_8"/>
    <w:basedOn w:val="Fontepargpadro"/>
    <w:rsid w:val="007A3303"/>
  </w:style>
  <w:style w:type="character" w:styleId="Forte">
    <w:name w:val="Strong"/>
    <w:basedOn w:val="Fontepargpadro"/>
    <w:uiPriority w:val="22"/>
    <w:qFormat/>
    <w:rsid w:val="00C32193"/>
    <w:rPr>
      <w:b/>
      <w:bCs/>
    </w:rPr>
  </w:style>
  <w:style w:type="paragraph" w:styleId="NormalWeb">
    <w:name w:val="Normal (Web)"/>
    <w:basedOn w:val="Normal"/>
    <w:uiPriority w:val="99"/>
    <w:unhideWhenUsed/>
    <w:rsid w:val="00C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18</cp:revision>
  <dcterms:created xsi:type="dcterms:W3CDTF">2025-05-09T11:55:00Z</dcterms:created>
  <dcterms:modified xsi:type="dcterms:W3CDTF">2025-10-14T17:51:00Z</dcterms:modified>
</cp:coreProperties>
</file>