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6334AE81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5503C8">
        <w:rPr>
          <w:rFonts w:ascii="Cambria" w:eastAsia="Times New Roman" w:hAnsi="Cambria" w:cs="Times New Roman"/>
        </w:rPr>
        <w:t>2</w:t>
      </w:r>
      <w:r w:rsidR="00CA084B">
        <w:rPr>
          <w:rFonts w:ascii="Cambria" w:eastAsia="Times New Roman" w:hAnsi="Cambria" w:cs="Times New Roman"/>
        </w:rPr>
        <w:t>7</w:t>
      </w:r>
      <w:r>
        <w:rPr>
          <w:rFonts w:ascii="Cambria" w:eastAsia="Times New Roman" w:hAnsi="Cambria" w:cs="Times New Roman"/>
        </w:rPr>
        <w:t>/2025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CB305B">
        <w:rPr>
          <w:rFonts w:ascii="Cambria" w:eastAsia="Times New Roman" w:hAnsi="Cambria" w:cs="Times New Roman"/>
        </w:rPr>
        <w:t xml:space="preserve">a </w:t>
      </w:r>
      <w:r w:rsidR="00CA084B">
        <w:rPr>
          <w:rFonts w:ascii="Cambria" w:eastAsia="Times New Roman" w:hAnsi="Cambria" w:cs="Times New Roman"/>
        </w:rPr>
        <w:t>contratação direta</w:t>
      </w:r>
      <w:r w:rsidR="00CA084B" w:rsidRPr="00CA084B">
        <w:rPr>
          <w:rFonts w:ascii="Cambria" w:eastAsia="Times New Roman" w:hAnsi="Cambria" w:cs="Times New Roman"/>
        </w:rPr>
        <w:t>, mediante dispensa de licitação de empresa especializada para o fornecimento e a aquisição de materiais de acabamento interno essenciais, a saber: Piso Laminado, Torneiras e Canaletas, destinados ao atendimento das necessidades urgentes de manutenção, reparo e conservação das instalações prediais da Câmara Municipal de Francisco Beltrão – PR</w:t>
      </w:r>
      <w:r w:rsidRPr="00C62987">
        <w:rPr>
          <w:rFonts w:ascii="Cambria" w:eastAsia="Times New Roman" w:hAnsi="Cambria" w:cs="Times New Roman"/>
        </w:rPr>
        <w:t>, conforme segue:</w:t>
      </w:r>
    </w:p>
    <w:p w14:paraId="0E2734F4" w14:textId="06CAE82A" w:rsidR="00B45AFE" w:rsidRDefault="00B45AFE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04"/>
      </w:tblGrid>
      <w:tr w:rsidR="00CA084B" w:rsidRPr="00F716C6" w14:paraId="3EAC04C4" w14:textId="77777777" w:rsidTr="00852761">
        <w:tc>
          <w:tcPr>
            <w:tcW w:w="5000" w:type="pct"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836"/>
              <w:gridCol w:w="798"/>
              <w:gridCol w:w="2784"/>
              <w:gridCol w:w="852"/>
              <w:gridCol w:w="566"/>
              <w:gridCol w:w="990"/>
              <w:gridCol w:w="2374"/>
            </w:tblGrid>
            <w:tr w:rsidR="00CA084B" w:rsidRPr="00CA084B" w14:paraId="073B87F1" w14:textId="77777777" w:rsidTr="00CA084B">
              <w:trPr>
                <w:trHeight w:val="328"/>
              </w:trPr>
              <w:tc>
                <w:tcPr>
                  <w:tcW w:w="225" w:type="pct"/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A946B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434" w:type="pct"/>
                  <w:shd w:val="clear" w:color="auto" w:fill="D9D9D9"/>
                </w:tcPr>
                <w:p w14:paraId="5E0ADC6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Catmat</w:t>
                  </w:r>
                  <w:proofErr w:type="spellEnd"/>
                </w:p>
              </w:tc>
              <w:tc>
                <w:tcPr>
                  <w:tcW w:w="414" w:type="pct"/>
                  <w:shd w:val="clear" w:color="auto" w:fill="D9D9D9"/>
                </w:tcPr>
                <w:p w14:paraId="61B65A45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Código</w:t>
                  </w:r>
                </w:p>
              </w:tc>
              <w:tc>
                <w:tcPr>
                  <w:tcW w:w="1445" w:type="pct"/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B1F6C3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442" w:type="pct"/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546DAE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294" w:type="pct"/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009A0E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Qtd</w:t>
                  </w:r>
                  <w:proofErr w:type="spellEnd"/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922EFDD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Valor unitário R$</w:t>
                  </w:r>
                </w:p>
              </w:tc>
              <w:tc>
                <w:tcPr>
                  <w:tcW w:w="1232" w:type="pct"/>
                  <w:shd w:val="clear" w:color="auto" w:fill="D9D9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58D6F6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Valor total R$</w:t>
                  </w:r>
                </w:p>
              </w:tc>
            </w:tr>
            <w:tr w:rsidR="00CA084B" w:rsidRPr="00CA084B" w14:paraId="466ACD69" w14:textId="77777777" w:rsidTr="00CA084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000" w:firstRow="0" w:lastRow="0" w:firstColumn="0" w:lastColumn="0" w:noHBand="0" w:noVBand="0"/>
              </w:tblPrEx>
              <w:trPr>
                <w:trHeight w:val="144"/>
              </w:trPr>
              <w:tc>
                <w:tcPr>
                  <w:tcW w:w="225" w:type="pct"/>
                </w:tcPr>
                <w:p w14:paraId="11DAE399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4" w:type="pct"/>
                </w:tcPr>
                <w:p w14:paraId="155A1D2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399684</w:t>
                  </w:r>
                </w:p>
              </w:tc>
              <w:tc>
                <w:tcPr>
                  <w:tcW w:w="414" w:type="pct"/>
                </w:tcPr>
                <w:p w14:paraId="3D1D4054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98265</w:t>
                  </w:r>
                </w:p>
              </w:tc>
              <w:tc>
                <w:tcPr>
                  <w:tcW w:w="1445" w:type="pct"/>
                </w:tcPr>
                <w:p w14:paraId="2639A43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 xml:space="preserve">FORNECIMENTO E INSTALAÇÃO de Piso Laminado, padrão clicado (Click), para instalação em sistema flutuante. O preço unitário contempla o material (piso) e a mão de obra de instalação completa. Resistência Mínima à Abrasão: AC3 ou superior. Espessura Mínima: 6 mm. Dimensões por Régua: 1200 mm (Comprimento) x 215 mm (Largura). Acabamento/Padrão: Tipo madeira, tonalidade clara (amadeirado/bege/girassol). Produto novo, de primeira linha e em conformidade com as normas ABNT aplicáveis. FLOOREST - Padrão GIRASSOL </w:t>
                  </w:r>
                </w:p>
              </w:tc>
              <w:tc>
                <w:tcPr>
                  <w:tcW w:w="442" w:type="pct"/>
                </w:tcPr>
                <w:p w14:paraId="0C5DB9AF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M²</w:t>
                  </w:r>
                </w:p>
              </w:tc>
              <w:tc>
                <w:tcPr>
                  <w:tcW w:w="294" w:type="pct"/>
                </w:tcPr>
                <w:p w14:paraId="02A9310A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514" w:type="pct"/>
                  <w:shd w:val="clear" w:color="auto" w:fill="auto"/>
                </w:tcPr>
                <w:p w14:paraId="2FCB048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</w:tcPr>
                <w:p w14:paraId="1A799C3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CA084B" w:rsidRPr="00CA084B" w14:paraId="1FEC217F" w14:textId="77777777" w:rsidTr="00CA084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000" w:firstRow="0" w:lastRow="0" w:firstColumn="0" w:lastColumn="0" w:noHBand="0" w:noVBand="0"/>
              </w:tblPrEx>
              <w:trPr>
                <w:trHeight w:val="144"/>
              </w:trPr>
              <w:tc>
                <w:tcPr>
                  <w:tcW w:w="225" w:type="pct"/>
                </w:tcPr>
                <w:p w14:paraId="0A571069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4" w:type="pct"/>
                </w:tcPr>
                <w:p w14:paraId="491D48C3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633450</w:t>
                  </w:r>
                </w:p>
              </w:tc>
              <w:tc>
                <w:tcPr>
                  <w:tcW w:w="414" w:type="pct"/>
                </w:tcPr>
                <w:p w14:paraId="037D38A9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98266</w:t>
                  </w:r>
                </w:p>
              </w:tc>
              <w:tc>
                <w:tcPr>
                  <w:tcW w:w="1445" w:type="pct"/>
                </w:tcPr>
                <w:p w14:paraId="75F35A5F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Torneira de Mesa, em metal cromado, com Bica Alta Móvel (Giratória), e Acionamento Automático Temporizado (Auto Fechamento). Bitola de 1/2 polegada, destinada especificamente para instalação em lavatório ou bancada de banheiro. O produto deve ser de alta resistência, com acabamento cromado de alto brilho e em conformidade com as normas ABNT de economia de água.</w:t>
                  </w:r>
                </w:p>
                <w:p w14:paraId="13DEEA72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GMC METAIS</w:t>
                  </w:r>
                </w:p>
              </w:tc>
              <w:tc>
                <w:tcPr>
                  <w:tcW w:w="442" w:type="pct"/>
                </w:tcPr>
                <w:p w14:paraId="69D4DBAC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294" w:type="pct"/>
                </w:tcPr>
                <w:p w14:paraId="25FC418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14" w:type="pct"/>
                  <w:shd w:val="clear" w:color="auto" w:fill="auto"/>
                </w:tcPr>
                <w:p w14:paraId="596AD566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</w:tcPr>
                <w:p w14:paraId="72897F7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CA084B" w:rsidRPr="00CA084B" w14:paraId="2F7565AC" w14:textId="77777777" w:rsidTr="00CA084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000" w:firstRow="0" w:lastRow="0" w:firstColumn="0" w:lastColumn="0" w:noHBand="0" w:noVBand="0"/>
              </w:tblPrEx>
              <w:trPr>
                <w:trHeight w:val="144"/>
              </w:trPr>
              <w:tc>
                <w:tcPr>
                  <w:tcW w:w="225" w:type="pct"/>
                </w:tcPr>
                <w:p w14:paraId="40CDC533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4" w:type="pct"/>
                </w:tcPr>
                <w:p w14:paraId="31131AFB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633308</w:t>
                  </w:r>
                </w:p>
              </w:tc>
              <w:tc>
                <w:tcPr>
                  <w:tcW w:w="414" w:type="pct"/>
                </w:tcPr>
                <w:p w14:paraId="44FEE6C6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98267</w:t>
                  </w:r>
                </w:p>
              </w:tc>
              <w:tc>
                <w:tcPr>
                  <w:tcW w:w="1445" w:type="pct"/>
                </w:tcPr>
                <w:p w14:paraId="01E820BC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Canaleta SIST X (ADX)</w:t>
                  </w:r>
                </w:p>
                <w:p w14:paraId="413C87DD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Item: Canaleta SIST X com Divisória.</w:t>
                  </w:r>
                </w:p>
                <w:p w14:paraId="4A3512A3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Marca/Código: ADX / 30801.</w:t>
                  </w:r>
                </w:p>
                <w:p w14:paraId="7118D087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Tipo: Canaleta de superfície modular.</w:t>
                  </w:r>
                </w:p>
                <w:p w14:paraId="6004B8A9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Especificações: 20 mm (largura) x 12 mm (altura) x 2000 mm (comprimento / 2 metros).</w:t>
                  </w:r>
                </w:p>
                <w:p w14:paraId="302D21B5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Inclui divisória interna para separação de cabeamento (</w:t>
                  </w:r>
                  <w:proofErr w:type="spellStart"/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ex</w:t>
                  </w:r>
                  <w:proofErr w:type="spellEnd"/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 xml:space="preserve">: dados e energia). </w:t>
                  </w:r>
                </w:p>
                <w:p w14:paraId="4E72EF53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Aplicação: Organização e proteção de cabos em instalações elétricas e de telecomunicações aparente.</w:t>
                  </w:r>
                </w:p>
              </w:tc>
              <w:tc>
                <w:tcPr>
                  <w:tcW w:w="442" w:type="pct"/>
                </w:tcPr>
                <w:p w14:paraId="2A542370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294" w:type="pct"/>
                </w:tcPr>
                <w:p w14:paraId="78E042D2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14" w:type="pct"/>
                  <w:shd w:val="clear" w:color="auto" w:fill="auto"/>
                </w:tcPr>
                <w:p w14:paraId="4E7068E6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</w:tcPr>
                <w:p w14:paraId="49752E13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CA084B" w:rsidRPr="00CA084B" w14:paraId="03999548" w14:textId="77777777" w:rsidTr="00CA084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000" w:firstRow="0" w:lastRow="0" w:firstColumn="0" w:lastColumn="0" w:noHBand="0" w:noVBand="0"/>
              </w:tblPrEx>
              <w:trPr>
                <w:trHeight w:val="144"/>
              </w:trPr>
              <w:tc>
                <w:tcPr>
                  <w:tcW w:w="225" w:type="pct"/>
                </w:tcPr>
                <w:p w14:paraId="45CA37FF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4" w:type="pct"/>
                </w:tcPr>
                <w:p w14:paraId="79D31A8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633016</w:t>
                  </w:r>
                </w:p>
              </w:tc>
              <w:tc>
                <w:tcPr>
                  <w:tcW w:w="414" w:type="pct"/>
                </w:tcPr>
                <w:p w14:paraId="32ADDF00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98268</w:t>
                  </w:r>
                </w:p>
              </w:tc>
              <w:tc>
                <w:tcPr>
                  <w:tcW w:w="1445" w:type="pct"/>
                </w:tcPr>
                <w:p w14:paraId="5350C5C3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Canaleta PVC Cinza Claro (DCN)</w:t>
                  </w:r>
                </w:p>
                <w:p w14:paraId="5CBF9D9C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Item: Canaleta de PVC.</w:t>
                  </w:r>
                </w:p>
                <w:p w14:paraId="3E0E465C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Marca/Código: DCN.</w:t>
                  </w:r>
                </w:p>
                <w:p w14:paraId="44AE0559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Tipo: Canaleta de superfície (aparente).</w:t>
                  </w:r>
                </w:p>
                <w:p w14:paraId="630FFD93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Especificações: 50 mm (largura) x 50 mm (altura) x 2 metros (comprimento).</w:t>
                  </w:r>
                </w:p>
                <w:p w14:paraId="777FCCDC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Cor/Material: PVC (</w:t>
                  </w:r>
                  <w:proofErr w:type="spellStart"/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Policloreto</w:t>
                  </w:r>
                  <w:proofErr w:type="spellEnd"/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 xml:space="preserve"> de Vinila), cor Cinza Claro.</w:t>
                  </w:r>
                </w:p>
                <w:p w14:paraId="7CE319AA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Aplicação: Condução e proteção de um maior volume de cabos em comparação a canaletas menores.</w:t>
                  </w:r>
                </w:p>
              </w:tc>
              <w:tc>
                <w:tcPr>
                  <w:tcW w:w="442" w:type="pct"/>
                </w:tcPr>
                <w:p w14:paraId="2F5C97CE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294" w:type="pct"/>
                </w:tcPr>
                <w:p w14:paraId="0E3875DB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14" w:type="pct"/>
                  <w:shd w:val="clear" w:color="auto" w:fill="auto"/>
                </w:tcPr>
                <w:p w14:paraId="270E18FE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</w:tcPr>
                <w:p w14:paraId="62E19838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CA084B" w:rsidRPr="00CA084B" w14:paraId="7CE9F69E" w14:textId="77777777" w:rsidTr="00CA084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000" w:firstRow="0" w:lastRow="0" w:firstColumn="0" w:lastColumn="0" w:noHBand="0" w:noVBand="0"/>
              </w:tblPrEx>
              <w:trPr>
                <w:trHeight w:val="144"/>
              </w:trPr>
              <w:tc>
                <w:tcPr>
                  <w:tcW w:w="225" w:type="pct"/>
                </w:tcPr>
                <w:p w14:paraId="3600A514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4" w:type="pct"/>
                </w:tcPr>
                <w:p w14:paraId="51C9B367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630727</w:t>
                  </w:r>
                </w:p>
              </w:tc>
              <w:tc>
                <w:tcPr>
                  <w:tcW w:w="414" w:type="pct"/>
                </w:tcPr>
                <w:p w14:paraId="41F446AB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98269</w:t>
                  </w:r>
                </w:p>
              </w:tc>
              <w:tc>
                <w:tcPr>
                  <w:tcW w:w="1445" w:type="pct"/>
                </w:tcPr>
                <w:p w14:paraId="5347D634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Caixa 4x2 para Canaleta (FAME)</w:t>
                  </w:r>
                </w:p>
                <w:p w14:paraId="05F158B1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Item: Caixa de Derivação/Passagem.</w:t>
                  </w:r>
                </w:p>
                <w:p w14:paraId="16E442F0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Marca/Código: FAME / 5123.</w:t>
                  </w:r>
                </w:p>
                <w:p w14:paraId="4DE8B359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lastRenderedPageBreak/>
                    <w:t>Tipo: Caixa para instalação de módulos elétricos/dados.</w:t>
                  </w:r>
                </w:p>
                <w:p w14:paraId="73354614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Especificações: Padrão 4x2 (para tomadas e interruptores convencionais).</w:t>
                  </w:r>
                </w:p>
                <w:p w14:paraId="5DCE6AEB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Compatibilidade: Projetada para acoplamento em canaletas de 20 mm, 40 mm e 50 mm de largura.</w:t>
                  </w:r>
                </w:p>
                <w:p w14:paraId="52E8AABD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/>
                      <w:sz w:val="16"/>
                      <w:szCs w:val="16"/>
                    </w:rPr>
                    <w:t>Aplicação: Criação de pontos de saída (tomadas, interruptores) a partir do sistema de canaletas.</w:t>
                  </w:r>
                </w:p>
              </w:tc>
              <w:tc>
                <w:tcPr>
                  <w:tcW w:w="442" w:type="pct"/>
                </w:tcPr>
                <w:p w14:paraId="42EAE7AE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lastRenderedPageBreak/>
                    <w:t>UN</w:t>
                  </w:r>
                </w:p>
              </w:tc>
              <w:tc>
                <w:tcPr>
                  <w:tcW w:w="294" w:type="pct"/>
                </w:tcPr>
                <w:p w14:paraId="48C6E1F1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CA084B">
                    <w:rPr>
                      <w:rFonts w:ascii="Cambria" w:hAnsi="Cambria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14" w:type="pct"/>
                  <w:shd w:val="clear" w:color="auto" w:fill="auto"/>
                </w:tcPr>
                <w:p w14:paraId="10D6AB54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2" w:type="pct"/>
                  <w:shd w:val="clear" w:color="auto" w:fill="auto"/>
                </w:tcPr>
                <w:p w14:paraId="167761A7" w14:textId="77777777" w:rsidR="00CA084B" w:rsidRPr="00CA084B" w:rsidRDefault="00CA084B" w:rsidP="00852761">
                  <w:pPr>
                    <w:pStyle w:val="SemEspaamen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</w:tbl>
          <w:p w14:paraId="36A6F905" w14:textId="77777777" w:rsidR="00CA084B" w:rsidRPr="00F716C6" w:rsidRDefault="00CA084B" w:rsidP="00852761">
            <w:pPr>
              <w:pStyle w:val="SemEspaamento"/>
              <w:rPr>
                <w:rFonts w:ascii="Cambria" w:eastAsia="Arial MT" w:hAnsi="Cambria" w:cs="Arial MT"/>
                <w:sz w:val="20"/>
                <w:szCs w:val="20"/>
                <w:lang w:val="pt-PT"/>
              </w:rPr>
            </w:pPr>
          </w:p>
        </w:tc>
      </w:tr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_______________________________________________, ______________, ________________de 2025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72FDD"/>
    <w:rsid w:val="00154135"/>
    <w:rsid w:val="00192874"/>
    <w:rsid w:val="0022516B"/>
    <w:rsid w:val="002544B2"/>
    <w:rsid w:val="002F6094"/>
    <w:rsid w:val="003F78D8"/>
    <w:rsid w:val="00494700"/>
    <w:rsid w:val="00546017"/>
    <w:rsid w:val="005503C8"/>
    <w:rsid w:val="006A164C"/>
    <w:rsid w:val="00795E8C"/>
    <w:rsid w:val="007A3303"/>
    <w:rsid w:val="007D5203"/>
    <w:rsid w:val="008A4F0E"/>
    <w:rsid w:val="00AF7F9A"/>
    <w:rsid w:val="00B45AFE"/>
    <w:rsid w:val="00B9673D"/>
    <w:rsid w:val="00C32193"/>
    <w:rsid w:val="00C62987"/>
    <w:rsid w:val="00CA084B"/>
    <w:rsid w:val="00CB305B"/>
    <w:rsid w:val="00CF641C"/>
    <w:rsid w:val="00DA4A30"/>
    <w:rsid w:val="00E47988"/>
    <w:rsid w:val="00F52549"/>
    <w:rsid w:val="00F63B4A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24</cp:revision>
  <dcterms:created xsi:type="dcterms:W3CDTF">2025-05-09T11:55:00Z</dcterms:created>
  <dcterms:modified xsi:type="dcterms:W3CDTF">2025-12-09T16:40:00Z</dcterms:modified>
</cp:coreProperties>
</file>