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B6AE" w14:textId="321824AB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center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MODELO DE PROPOSTA</w:t>
      </w:r>
    </w:p>
    <w:p w14:paraId="6CC6EAB5" w14:textId="77777777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511039A0" w14:textId="38F09DFD" w:rsidR="00F63B4A" w:rsidRPr="00C62987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empresa.........................., estabelecida na (endereço completo, telefone, e endereço eletrônico, se houver), inscrita no CNPJ sob nº ......................................., neste ato representada por ........................................, cargo, RG........................., CPF........................, (endereço), vem por meio desta, apresentar Proposta de Preços ao </w:t>
      </w:r>
      <w:r>
        <w:rPr>
          <w:rFonts w:ascii="Cambria" w:eastAsia="Times New Roman" w:hAnsi="Cambria" w:cs="Times New Roman"/>
        </w:rPr>
        <w:t xml:space="preserve">Processo de Dispensa nº </w:t>
      </w:r>
      <w:r w:rsidR="00041F97">
        <w:rPr>
          <w:rFonts w:ascii="Cambria" w:eastAsia="Times New Roman" w:hAnsi="Cambria" w:cs="Times New Roman"/>
        </w:rPr>
        <w:t>0</w:t>
      </w:r>
      <w:r w:rsidR="002652A0">
        <w:rPr>
          <w:rFonts w:ascii="Cambria" w:eastAsia="Times New Roman" w:hAnsi="Cambria" w:cs="Times New Roman"/>
        </w:rPr>
        <w:t>9</w:t>
      </w:r>
      <w:r w:rsidR="00041F97">
        <w:rPr>
          <w:rFonts w:ascii="Cambria" w:eastAsia="Times New Roman" w:hAnsi="Cambria" w:cs="Times New Roman"/>
        </w:rPr>
        <w:t>/2026</w:t>
      </w:r>
      <w:r w:rsidRPr="00F63B4A">
        <w:rPr>
          <w:rFonts w:ascii="Cambria" w:eastAsia="Times New Roman" w:hAnsi="Cambria" w:cs="Times New Roman"/>
        </w:rPr>
        <w:t xml:space="preserve"> em epígrafe que tem por objeto </w:t>
      </w:r>
      <w:r w:rsidR="00790ECB" w:rsidRPr="00790ECB">
        <w:rPr>
          <w:rFonts w:ascii="Cambria" w:eastAsia="Times New Roman" w:hAnsi="Cambria" w:cs="Times New Roman"/>
        </w:rPr>
        <w:t xml:space="preserve">prestação de serviços de </w:t>
      </w:r>
      <w:r w:rsidR="002652A0" w:rsidRPr="002652A0">
        <w:rPr>
          <w:rFonts w:ascii="Cambria" w:eastAsia="Times New Roman" w:hAnsi="Cambria" w:cs="Times New Roman"/>
        </w:rPr>
        <w:t>Locação e Gerenciamento Técnico de Infraestrutura de Vigilância Eletrônica (CFTV) com suporte a Inteligência Artificial e Backup em Nuvem, abrangendo o fornecimento, instalação e manutenção integral do sistema com capacidade de retenção de imagens por 30 (trinta) dias. A contratação visa prover os meios tecnológicos para atender às necessidades de segurança da Câmara Municipal de Francisco Beltrão</w:t>
      </w:r>
      <w:r w:rsidR="00A20181">
        <w:rPr>
          <w:rFonts w:ascii="Cambria" w:eastAsia="Times New Roman" w:hAnsi="Cambria" w:cs="Times New Roman"/>
        </w:rPr>
        <w:t>,</w:t>
      </w:r>
      <w:r w:rsidRPr="00C62987">
        <w:rPr>
          <w:rFonts w:ascii="Cambria" w:eastAsia="Times New Roman" w:hAnsi="Cambria" w:cs="Times New Roman"/>
        </w:rPr>
        <w:t xml:space="preserve"> conforme segue:</w:t>
      </w:r>
    </w:p>
    <w:p w14:paraId="0E2734F4" w14:textId="06CAE82A" w:rsidR="00B45AFE" w:rsidRDefault="00B45AFE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8"/>
        <w:gridCol w:w="846"/>
        <w:gridCol w:w="707"/>
        <w:gridCol w:w="3065"/>
        <w:gridCol w:w="585"/>
        <w:gridCol w:w="781"/>
        <w:gridCol w:w="820"/>
        <w:gridCol w:w="936"/>
      </w:tblGrid>
      <w:tr w:rsidR="002652A0" w:rsidRPr="00D74189" w14:paraId="74A3E330" w14:textId="77777777" w:rsidTr="00565AE2">
        <w:trPr>
          <w:jc w:val="center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9E1A" w14:textId="77777777" w:rsidR="002652A0" w:rsidRPr="00D74189" w:rsidRDefault="002652A0" w:rsidP="00565AE2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bookmarkStart w:id="0" w:name="_Hlk196309120"/>
            <w:r w:rsidRPr="00D74189">
              <w:rPr>
                <w:rFonts w:ascii="Cambria" w:hAnsi="Cambria"/>
                <w:sz w:val="20"/>
                <w:szCs w:val="20"/>
              </w:rPr>
              <w:t>Item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D1C71" w14:textId="77777777" w:rsidR="002652A0" w:rsidRDefault="002652A0" w:rsidP="00565AE2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CATMAT</w:t>
            </w:r>
          </w:p>
          <w:p w14:paraId="29190274" w14:textId="77777777" w:rsidR="002652A0" w:rsidRPr="00D74189" w:rsidRDefault="002652A0" w:rsidP="00565AE2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CATSERV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E918" w14:textId="77777777" w:rsidR="002652A0" w:rsidRPr="00D74189" w:rsidRDefault="002652A0" w:rsidP="00565AE2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D74189">
              <w:rPr>
                <w:rFonts w:ascii="Cambria" w:hAnsi="Cambria"/>
                <w:sz w:val="20"/>
                <w:szCs w:val="20"/>
              </w:rPr>
              <w:t>Cod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E061A" w14:textId="77777777" w:rsidR="002652A0" w:rsidRPr="00D74189" w:rsidRDefault="002652A0" w:rsidP="00565AE2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r w:rsidRPr="00D74189">
              <w:rPr>
                <w:rFonts w:ascii="Cambria" w:hAnsi="Cambria"/>
                <w:sz w:val="20"/>
                <w:szCs w:val="20"/>
              </w:rPr>
              <w:t>Especificação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CD8C0" w14:textId="77777777" w:rsidR="002652A0" w:rsidRPr="00D74189" w:rsidRDefault="002652A0" w:rsidP="00565AE2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r w:rsidRPr="00D74189">
              <w:rPr>
                <w:rFonts w:ascii="Cambria" w:hAnsi="Cambria"/>
                <w:sz w:val="20"/>
                <w:szCs w:val="20"/>
              </w:rPr>
              <w:t>Quant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3EA0" w14:textId="77777777" w:rsidR="002652A0" w:rsidRPr="00D74189" w:rsidRDefault="002652A0" w:rsidP="00565AE2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r w:rsidRPr="00D74189">
              <w:rPr>
                <w:rFonts w:ascii="Cambria" w:hAnsi="Cambria"/>
                <w:sz w:val="20"/>
                <w:szCs w:val="20"/>
              </w:rPr>
              <w:t>Unidade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36A26" w14:textId="77777777" w:rsidR="002652A0" w:rsidRPr="00D74189" w:rsidRDefault="002652A0" w:rsidP="00565AE2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r w:rsidRPr="00D74189">
              <w:rPr>
                <w:rFonts w:ascii="Cambria" w:hAnsi="Cambria"/>
                <w:sz w:val="20"/>
                <w:szCs w:val="20"/>
              </w:rPr>
              <w:t>Valor unitário máximo R$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C0E77" w14:textId="77777777" w:rsidR="002652A0" w:rsidRPr="00D74189" w:rsidRDefault="002652A0" w:rsidP="00565AE2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r w:rsidRPr="00D74189">
              <w:rPr>
                <w:rFonts w:ascii="Cambria" w:hAnsi="Cambria"/>
                <w:sz w:val="20"/>
                <w:szCs w:val="20"/>
              </w:rPr>
              <w:t>Valor total máximo R$</w:t>
            </w:r>
          </w:p>
        </w:tc>
      </w:tr>
      <w:tr w:rsidR="002652A0" w:rsidRPr="00001561" w14:paraId="2E1636B4" w14:textId="77777777" w:rsidTr="00565AE2">
        <w:trPr>
          <w:jc w:val="center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A139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001561">
              <w:rPr>
                <w:rFonts w:ascii="Cambria" w:hAnsi="Cambria"/>
                <w:sz w:val="20"/>
                <w:szCs w:val="20"/>
              </w:rPr>
              <w:t>01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8DA0D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27022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1678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98977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4A2BC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001561">
              <w:rPr>
                <w:rFonts w:ascii="Cambria" w:hAnsi="Cambria"/>
                <w:sz w:val="20"/>
                <w:szCs w:val="20"/>
              </w:rPr>
              <w:t>LOCAÇÃO E GERENCIAMENTO TÉCNICO DE INFRAESTRUTURA DE VIGILÂNCIA ELETRÔNICA (CFTV)</w:t>
            </w:r>
          </w:p>
          <w:p w14:paraId="5283AF0F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0DFBC18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001561">
              <w:rPr>
                <w:rFonts w:ascii="Cambria" w:hAnsi="Cambria"/>
                <w:sz w:val="20"/>
                <w:szCs w:val="20"/>
              </w:rPr>
              <w:t>Especificações Técnicas:</w:t>
            </w:r>
          </w:p>
          <w:p w14:paraId="423FBB43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001561">
              <w:rPr>
                <w:rFonts w:ascii="Cambria" w:hAnsi="Cambria"/>
                <w:sz w:val="20"/>
                <w:szCs w:val="20"/>
              </w:rPr>
              <w:t>Gerenciamento Técnico e Locação: Contratação de solução tecnológica completa de Circuito Fechado de Televisão (CFTV) na modalidade de locação, incluindo o fornecimento de todos os equipamentos, materiais de infraestrutura, instalação e manutenção integral do sistema.</w:t>
            </w:r>
          </w:p>
          <w:p w14:paraId="21FFCB50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001561">
              <w:rPr>
                <w:rFonts w:ascii="Cambria" w:hAnsi="Cambria"/>
                <w:sz w:val="20"/>
                <w:szCs w:val="20"/>
              </w:rPr>
              <w:t>Tecnologia e Pontos: Sistema composto por 16 (dezesseis) pontos de câmeras IP com alimentação POE+ (Power over Ethernet), obrigatoriamente interligadas via rede cabeada de IP.</w:t>
            </w:r>
          </w:p>
          <w:p w14:paraId="6D278AF6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001561">
              <w:rPr>
                <w:rFonts w:ascii="Cambria" w:hAnsi="Cambria"/>
                <w:sz w:val="20"/>
                <w:szCs w:val="20"/>
              </w:rPr>
              <w:t>Resolução e Inteligência: Câmeras com resolução mínima Full HD (1080p) e suporte a 4K IP. Os equipamentos devem possuir hardware nativo para integração com software de Inteligência Artificial (I.A.), permitindo recursos de Reconhecimento Facial, análise de padrões e identificação de áudio.</w:t>
            </w:r>
          </w:p>
          <w:p w14:paraId="210AE379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001561">
              <w:rPr>
                <w:rFonts w:ascii="Cambria" w:hAnsi="Cambria"/>
                <w:sz w:val="20"/>
                <w:szCs w:val="20"/>
              </w:rPr>
              <w:t>Visão Noturna: Todas as câmeras devem possuir infravermelho de alto desempenho para captação de imagens em baixa luminosidade.</w:t>
            </w:r>
          </w:p>
          <w:p w14:paraId="39C56635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001561">
              <w:rPr>
                <w:rFonts w:ascii="Cambria" w:hAnsi="Cambria"/>
                <w:sz w:val="20"/>
                <w:szCs w:val="20"/>
              </w:rPr>
              <w:t xml:space="preserve">Gerenciamento (NVR): Fornecimento de gravador de vídeo em rede (NVR) de alta performance, dimensionado para 16 canais, com suporte </w:t>
            </w:r>
            <w:proofErr w:type="spellStart"/>
            <w:r w:rsidRPr="00001561">
              <w:rPr>
                <w:rFonts w:ascii="Cambria" w:hAnsi="Cambria"/>
                <w:sz w:val="20"/>
                <w:szCs w:val="20"/>
              </w:rPr>
              <w:t>a</w:t>
            </w:r>
            <w:proofErr w:type="spellEnd"/>
            <w:r w:rsidRPr="00001561">
              <w:rPr>
                <w:rFonts w:ascii="Cambria" w:hAnsi="Cambria"/>
                <w:sz w:val="20"/>
                <w:szCs w:val="20"/>
              </w:rPr>
              <w:t xml:space="preserve"> sincronização e backup em nuvem (CLOUD).</w:t>
            </w:r>
          </w:p>
          <w:p w14:paraId="64EEE382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001561">
              <w:rPr>
                <w:rFonts w:ascii="Cambria" w:hAnsi="Cambria"/>
                <w:sz w:val="20"/>
                <w:szCs w:val="20"/>
              </w:rPr>
              <w:lastRenderedPageBreak/>
              <w:t xml:space="preserve">Armazenamento: Capacidade de retenção mínima de imagens de </w:t>
            </w:r>
            <w:r>
              <w:rPr>
                <w:rFonts w:ascii="Cambria" w:hAnsi="Cambria"/>
                <w:sz w:val="20"/>
                <w:szCs w:val="20"/>
              </w:rPr>
              <w:t>30</w:t>
            </w:r>
            <w:r w:rsidRPr="00001561">
              <w:rPr>
                <w:rFonts w:ascii="Cambria" w:hAnsi="Cambria"/>
                <w:sz w:val="20"/>
                <w:szCs w:val="20"/>
              </w:rPr>
              <w:t xml:space="preserve"> (</w:t>
            </w:r>
            <w:r>
              <w:rPr>
                <w:rFonts w:ascii="Cambria" w:hAnsi="Cambria"/>
                <w:sz w:val="20"/>
                <w:szCs w:val="20"/>
              </w:rPr>
              <w:t>trinta</w:t>
            </w:r>
            <w:r w:rsidRPr="00001561">
              <w:rPr>
                <w:rFonts w:ascii="Cambria" w:hAnsi="Cambria"/>
                <w:sz w:val="20"/>
                <w:szCs w:val="20"/>
              </w:rPr>
              <w:t>) dias, operando preferencialmente por detecção de movimento.</w:t>
            </w:r>
          </w:p>
          <w:p w14:paraId="3B9ACD6A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001561">
              <w:rPr>
                <w:rFonts w:ascii="Cambria" w:hAnsi="Cambria"/>
                <w:sz w:val="20"/>
                <w:szCs w:val="20"/>
              </w:rPr>
              <w:t>Manutenção e Suporte: Inclusão de toda a mão de obra para instalação, configuração técnica e manutenção preventiva/corretiva durante a vigência do contrato, visando garantir a disponibilidade ininterrupta do sistema.</w:t>
            </w:r>
          </w:p>
          <w:p w14:paraId="3CC73785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001561">
              <w:rPr>
                <w:rFonts w:ascii="Cambria" w:hAnsi="Cambria"/>
                <w:sz w:val="20"/>
                <w:szCs w:val="20"/>
              </w:rPr>
              <w:t>Garantia Incondicional: A Contratada assume total responsabilidade pelo funcionamento técnico dos dispositivos, incluindo a substituição imediata de equipamentos avariados sem ônus para a Câmara Municipal.</w:t>
            </w:r>
          </w:p>
          <w:p w14:paraId="41A9C541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001561">
              <w:rPr>
                <w:rFonts w:ascii="Cambria" w:hAnsi="Cambria"/>
                <w:sz w:val="20"/>
                <w:szCs w:val="20"/>
              </w:rPr>
              <w:t>Visualização e Acesso: Configuração de terminais para visualização simultânea em 04 (quatro) pontos internos e disponibilização de acesso remoto criptografado via smartphones, tablets e computadores para usuários autorizados.</w:t>
            </w:r>
          </w:p>
          <w:p w14:paraId="29012395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001561">
              <w:rPr>
                <w:rFonts w:ascii="Cambria" w:hAnsi="Cambria"/>
                <w:sz w:val="20"/>
                <w:szCs w:val="20"/>
              </w:rPr>
              <w:t>Treinamento Operacional: Realização de treinamento técnico presencial para servidores da Câmara sobre a operação do software, realização de buscas, exportação de imagens e gestão de usuários.</w:t>
            </w:r>
          </w:p>
          <w:p w14:paraId="2BBEE438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001561">
              <w:rPr>
                <w:rFonts w:ascii="Cambria" w:hAnsi="Cambria"/>
                <w:sz w:val="20"/>
                <w:szCs w:val="20"/>
              </w:rPr>
              <w:t>Escopo de Responsabilidade: A presente contratação limita-se à disponibilização e manutenção da infraestrutura tecnológica, sendo a operação do sistema e a análise das imagens de responsabilidade exclusiva da Câmara Municipal, não incluindo o serviço de monitoramento humano ou vigilância operacional por parte da contratada.</w:t>
            </w:r>
          </w:p>
          <w:p w14:paraId="5546110F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948AF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001561">
              <w:rPr>
                <w:rFonts w:ascii="Cambria" w:hAnsi="Cambria"/>
                <w:sz w:val="20"/>
                <w:szCs w:val="20"/>
              </w:rPr>
              <w:lastRenderedPageBreak/>
              <w:t>01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6526B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001561">
              <w:rPr>
                <w:rFonts w:ascii="Cambria" w:hAnsi="Cambria"/>
                <w:sz w:val="20"/>
                <w:szCs w:val="20"/>
              </w:rPr>
              <w:t>serviço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49BA0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33146" w14:textId="77777777" w:rsidR="002652A0" w:rsidRPr="00001561" w:rsidRDefault="002652A0" w:rsidP="00565AE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bookmarkEnd w:id="0"/>
    </w:tbl>
    <w:p w14:paraId="31395A84" w14:textId="77777777" w:rsidR="00192874" w:rsidRDefault="00192874"/>
    <w:p w14:paraId="20E79095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Informar Valor Total R$....</w:t>
      </w:r>
    </w:p>
    <w:p w14:paraId="6EA2579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507A6F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719DC4B8" w14:textId="5F39C344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validade desta proposta é de 90 (noventa) dias corridos, contados da data da abertura </w:t>
      </w:r>
      <w:r>
        <w:rPr>
          <w:rFonts w:ascii="Cambria" w:eastAsia="Times New Roman" w:hAnsi="Cambria" w:cs="Times New Roman"/>
        </w:rPr>
        <w:t>das propostas.</w:t>
      </w:r>
    </w:p>
    <w:p w14:paraId="4C90C95E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98A052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EF543A5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 apresentação da proposta implicará na plena aceitação das condições estabelecidas neste edital e seus anexos.</w:t>
      </w:r>
    </w:p>
    <w:p w14:paraId="523108E7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lastRenderedPageBreak/>
        <w:t>Responsável pela assinatura do contrato ou da Ata de Registro de Preços:</w:t>
      </w:r>
    </w:p>
    <w:p w14:paraId="3E2F586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395FB3D3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Nome: ..........................................................................</w:t>
      </w:r>
    </w:p>
    <w:p w14:paraId="27826CE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CPF: ..............................................................................</w:t>
      </w:r>
    </w:p>
    <w:p w14:paraId="5198F6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Endereço:</w:t>
      </w:r>
    </w:p>
    <w:p w14:paraId="743617E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Telefone</w:t>
      </w:r>
    </w:p>
    <w:p w14:paraId="5A4076C6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- </w:t>
      </w:r>
      <w:proofErr w:type="gramStart"/>
      <w:r w:rsidRPr="00F63B4A">
        <w:rPr>
          <w:rFonts w:ascii="Cambria" w:eastAsia="Times New Roman" w:hAnsi="Cambria" w:cs="Times New Roman"/>
        </w:rPr>
        <w:t>e-mail</w:t>
      </w:r>
      <w:proofErr w:type="gramEnd"/>
    </w:p>
    <w:p w14:paraId="7619730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495FB3D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7783B56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12D2BF8E" w14:textId="03348908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_______________________________________________, ______________, ________________de </w:t>
      </w:r>
      <w:r w:rsidR="00041F97">
        <w:rPr>
          <w:rFonts w:ascii="Cambria" w:eastAsia="Times New Roman" w:hAnsi="Cambria" w:cs="Times New Roman"/>
        </w:rPr>
        <w:t>2026.</w:t>
      </w:r>
    </w:p>
    <w:p w14:paraId="3A0B78B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Local e Data</w:t>
      </w:r>
    </w:p>
    <w:p w14:paraId="6523AF71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250E78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37321A1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Assinatura do Responsável pela Empresa</w:t>
      </w:r>
    </w:p>
    <w:p w14:paraId="18200920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(nome legível/cargo)</w:t>
      </w:r>
    </w:p>
    <w:p w14:paraId="7AA3644F" w14:textId="77777777" w:rsidR="00F63B4A" w:rsidRDefault="00F63B4A"/>
    <w:sectPr w:rsidR="00F63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5663"/>
    <w:multiLevelType w:val="hybridMultilevel"/>
    <w:tmpl w:val="E2928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4A"/>
    <w:rsid w:val="00041F97"/>
    <w:rsid w:val="00072FDD"/>
    <w:rsid w:val="00154135"/>
    <w:rsid w:val="0017526F"/>
    <w:rsid w:val="00192874"/>
    <w:rsid w:val="0022516B"/>
    <w:rsid w:val="002544B2"/>
    <w:rsid w:val="002652A0"/>
    <w:rsid w:val="002C2E09"/>
    <w:rsid w:val="002F6094"/>
    <w:rsid w:val="003F78D8"/>
    <w:rsid w:val="00494700"/>
    <w:rsid w:val="00546017"/>
    <w:rsid w:val="005503C8"/>
    <w:rsid w:val="006A164C"/>
    <w:rsid w:val="00727427"/>
    <w:rsid w:val="00790ECB"/>
    <w:rsid w:val="00795E8C"/>
    <w:rsid w:val="007A3303"/>
    <w:rsid w:val="007C7A2E"/>
    <w:rsid w:val="007D5203"/>
    <w:rsid w:val="008A4F0E"/>
    <w:rsid w:val="00A20181"/>
    <w:rsid w:val="00AF7F9A"/>
    <w:rsid w:val="00B45AFE"/>
    <w:rsid w:val="00B9673D"/>
    <w:rsid w:val="00C32193"/>
    <w:rsid w:val="00C62987"/>
    <w:rsid w:val="00CA084B"/>
    <w:rsid w:val="00CB305B"/>
    <w:rsid w:val="00CF641C"/>
    <w:rsid w:val="00DA4A30"/>
    <w:rsid w:val="00E47988"/>
    <w:rsid w:val="00F52549"/>
    <w:rsid w:val="00F63B4A"/>
    <w:rsid w:val="00FC15EB"/>
    <w:rsid w:val="00F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233C"/>
  <w15:chartTrackingRefBased/>
  <w15:docId w15:val="{7B555911-A1C8-46B4-89B7-8F957714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192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192874"/>
    <w:pPr>
      <w:spacing w:after="0" w:line="240" w:lineRule="auto"/>
    </w:pPr>
    <w:rPr>
      <w:rFonts w:eastAsiaTheme="minorEastAsia"/>
      <w:lang w:eastAsia="pt-BR"/>
    </w:rPr>
  </w:style>
  <w:style w:type="character" w:customStyle="1" w:styleId="fadeinm1hgl8">
    <w:name w:val="_fadein_m1hgl_8"/>
    <w:basedOn w:val="Fontepargpadro"/>
    <w:rsid w:val="007A3303"/>
  </w:style>
  <w:style w:type="character" w:styleId="Forte">
    <w:name w:val="Strong"/>
    <w:basedOn w:val="Fontepargpadro"/>
    <w:uiPriority w:val="22"/>
    <w:qFormat/>
    <w:rsid w:val="00C32193"/>
    <w:rPr>
      <w:b/>
      <w:bCs/>
    </w:rPr>
  </w:style>
  <w:style w:type="paragraph" w:styleId="NormalWeb">
    <w:name w:val="Normal (Web)"/>
    <w:basedOn w:val="Normal"/>
    <w:uiPriority w:val="99"/>
    <w:unhideWhenUsed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460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th-inline">
    <w:name w:val="math-inline"/>
    <w:basedOn w:val="Fontepargpadro"/>
    <w:rsid w:val="00727427"/>
  </w:style>
  <w:style w:type="character" w:customStyle="1" w:styleId="citation-187">
    <w:name w:val="citation-187"/>
    <w:basedOn w:val="Fontepargpadro"/>
    <w:rsid w:val="00727427"/>
  </w:style>
  <w:style w:type="character" w:customStyle="1" w:styleId="citation-176">
    <w:name w:val="citation-176"/>
    <w:basedOn w:val="Fontepargpadro"/>
    <w:rsid w:val="00727427"/>
  </w:style>
  <w:style w:type="character" w:customStyle="1" w:styleId="citation-175">
    <w:name w:val="citation-175"/>
    <w:basedOn w:val="Fontepargpadro"/>
    <w:rsid w:val="00727427"/>
  </w:style>
  <w:style w:type="character" w:customStyle="1" w:styleId="citation-174">
    <w:name w:val="citation-174"/>
    <w:basedOn w:val="Fontepargpadro"/>
    <w:rsid w:val="00727427"/>
  </w:style>
  <w:style w:type="character" w:customStyle="1" w:styleId="citation-173">
    <w:name w:val="citation-173"/>
    <w:basedOn w:val="Fontepargpadro"/>
    <w:rsid w:val="00727427"/>
  </w:style>
  <w:style w:type="character" w:customStyle="1" w:styleId="citation-172">
    <w:name w:val="citation-172"/>
    <w:basedOn w:val="Fontepargpadro"/>
    <w:rsid w:val="00727427"/>
  </w:style>
  <w:style w:type="character" w:customStyle="1" w:styleId="citation-171">
    <w:name w:val="citation-171"/>
    <w:basedOn w:val="Fontepargpadro"/>
    <w:rsid w:val="00727427"/>
  </w:style>
  <w:style w:type="character" w:customStyle="1" w:styleId="citation-170">
    <w:name w:val="citation-170"/>
    <w:basedOn w:val="Fontepargpadro"/>
    <w:rsid w:val="00727427"/>
  </w:style>
  <w:style w:type="character" w:customStyle="1" w:styleId="citation-169">
    <w:name w:val="citation-169"/>
    <w:basedOn w:val="Fontepargpadro"/>
    <w:rsid w:val="00727427"/>
  </w:style>
  <w:style w:type="character" w:customStyle="1" w:styleId="citation-168">
    <w:name w:val="citation-168"/>
    <w:basedOn w:val="Fontepargpadro"/>
    <w:rsid w:val="00727427"/>
  </w:style>
  <w:style w:type="character" w:customStyle="1" w:styleId="citation-167">
    <w:name w:val="citation-167"/>
    <w:basedOn w:val="Fontepargpadro"/>
    <w:rsid w:val="00727427"/>
  </w:style>
  <w:style w:type="character" w:customStyle="1" w:styleId="citation-166">
    <w:name w:val="citation-166"/>
    <w:basedOn w:val="Fontepargpadro"/>
    <w:rsid w:val="00727427"/>
  </w:style>
  <w:style w:type="character" w:customStyle="1" w:styleId="citation-165">
    <w:name w:val="citation-165"/>
    <w:basedOn w:val="Fontepargpadro"/>
    <w:rsid w:val="00727427"/>
  </w:style>
  <w:style w:type="character" w:customStyle="1" w:styleId="citation-164">
    <w:name w:val="citation-164"/>
    <w:basedOn w:val="Fontepargpadro"/>
    <w:rsid w:val="00727427"/>
  </w:style>
  <w:style w:type="character" w:customStyle="1" w:styleId="citation-163">
    <w:name w:val="citation-163"/>
    <w:basedOn w:val="Fontepargpadro"/>
    <w:rsid w:val="00727427"/>
  </w:style>
  <w:style w:type="character" w:customStyle="1" w:styleId="citation-162">
    <w:name w:val="citation-162"/>
    <w:basedOn w:val="Fontepargpadro"/>
    <w:rsid w:val="00727427"/>
  </w:style>
  <w:style w:type="character" w:customStyle="1" w:styleId="citation-161">
    <w:name w:val="citation-161"/>
    <w:basedOn w:val="Fontepargpadro"/>
    <w:rsid w:val="00727427"/>
  </w:style>
  <w:style w:type="character" w:customStyle="1" w:styleId="citation-160">
    <w:name w:val="citation-160"/>
    <w:basedOn w:val="Fontepargpadro"/>
    <w:rsid w:val="00727427"/>
  </w:style>
  <w:style w:type="character" w:customStyle="1" w:styleId="citation-159">
    <w:name w:val="citation-159"/>
    <w:basedOn w:val="Fontepargpadro"/>
    <w:rsid w:val="00727427"/>
  </w:style>
  <w:style w:type="character" w:customStyle="1" w:styleId="citation-158">
    <w:name w:val="citation-158"/>
    <w:basedOn w:val="Fontepargpadro"/>
    <w:rsid w:val="00727427"/>
  </w:style>
  <w:style w:type="character" w:customStyle="1" w:styleId="citation-157">
    <w:name w:val="citation-157"/>
    <w:basedOn w:val="Fontepargpadro"/>
    <w:rsid w:val="00727427"/>
  </w:style>
  <w:style w:type="character" w:customStyle="1" w:styleId="citation-156">
    <w:name w:val="citation-156"/>
    <w:basedOn w:val="Fontepargpadro"/>
    <w:rsid w:val="00727427"/>
  </w:style>
  <w:style w:type="character" w:customStyle="1" w:styleId="citation-155">
    <w:name w:val="citation-155"/>
    <w:basedOn w:val="Fontepargpadro"/>
    <w:rsid w:val="00727427"/>
  </w:style>
  <w:style w:type="character" w:customStyle="1" w:styleId="citation-87">
    <w:name w:val="citation-87"/>
    <w:basedOn w:val="Fontepargpadro"/>
    <w:rsid w:val="00FC4723"/>
  </w:style>
  <w:style w:type="character" w:customStyle="1" w:styleId="citation-86">
    <w:name w:val="citation-86"/>
    <w:basedOn w:val="Fontepargpadro"/>
    <w:rsid w:val="00FC4723"/>
  </w:style>
  <w:style w:type="character" w:customStyle="1" w:styleId="citation-85">
    <w:name w:val="citation-85"/>
    <w:basedOn w:val="Fontepargpadro"/>
    <w:rsid w:val="00FC4723"/>
  </w:style>
  <w:style w:type="character" w:customStyle="1" w:styleId="citation-84">
    <w:name w:val="citation-84"/>
    <w:basedOn w:val="Fontepargpadro"/>
    <w:rsid w:val="00FC4723"/>
  </w:style>
  <w:style w:type="character" w:customStyle="1" w:styleId="citation-83">
    <w:name w:val="citation-83"/>
    <w:basedOn w:val="Fontepargpadro"/>
    <w:rsid w:val="00FC4723"/>
  </w:style>
  <w:style w:type="character" w:customStyle="1" w:styleId="citation-82">
    <w:name w:val="citation-82"/>
    <w:basedOn w:val="Fontepargpadro"/>
    <w:rsid w:val="00FC4723"/>
  </w:style>
  <w:style w:type="character" w:customStyle="1" w:styleId="citation-81">
    <w:name w:val="citation-81"/>
    <w:basedOn w:val="Fontepargpadro"/>
    <w:rsid w:val="00FC4723"/>
  </w:style>
  <w:style w:type="character" w:customStyle="1" w:styleId="citation-80">
    <w:name w:val="citation-80"/>
    <w:basedOn w:val="Fontepargpadro"/>
    <w:rsid w:val="00FC4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33</cp:revision>
  <dcterms:created xsi:type="dcterms:W3CDTF">2025-05-09T11:55:00Z</dcterms:created>
  <dcterms:modified xsi:type="dcterms:W3CDTF">2026-03-02T13:40:00Z</dcterms:modified>
</cp:coreProperties>
</file>