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241578F2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BB1150">
        <w:rPr>
          <w:rFonts w:ascii="Cambria" w:eastAsia="Times New Roman" w:hAnsi="Cambria" w:cs="Times New Roman"/>
        </w:rPr>
        <w:t>1</w:t>
      </w:r>
      <w:r w:rsidR="006A7AB3">
        <w:rPr>
          <w:rFonts w:ascii="Cambria" w:eastAsia="Times New Roman" w:hAnsi="Cambria" w:cs="Times New Roman"/>
        </w:rPr>
        <w:t>3</w:t>
      </w:r>
      <w:r w:rsidR="00041F97">
        <w:rPr>
          <w:rFonts w:ascii="Cambria" w:eastAsia="Times New Roman" w:hAnsi="Cambria" w:cs="Times New Roman"/>
        </w:rPr>
        <w:t>/2026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BB1150">
        <w:rPr>
          <w:rFonts w:ascii="Cambria" w:eastAsia="Times New Roman" w:hAnsi="Cambria" w:cs="Times New Roman"/>
        </w:rPr>
        <w:t xml:space="preserve">a </w:t>
      </w:r>
      <w:r w:rsidR="00BB1150" w:rsidRPr="00BB1150">
        <w:rPr>
          <w:rFonts w:ascii="Cambria" w:eastAsia="Times New Roman" w:hAnsi="Cambria" w:cs="Times New Roman"/>
        </w:rPr>
        <w:t xml:space="preserve">contratação </w:t>
      </w:r>
      <w:r w:rsidR="006A7AB3" w:rsidRPr="006A7AB3">
        <w:rPr>
          <w:rFonts w:ascii="Cambria" w:eastAsia="Times New Roman" w:hAnsi="Cambria" w:cs="Times New Roman"/>
        </w:rPr>
        <w:t>de empresa especializada para o fornecimento de componentes e acessórios de informática, visando atender à estruturação, manutenção e plena funcionalidade dos postos de trabalho dos servidores e vereadores, de responsabilidade da Câmara Municipal de Francisco Beltrão – PR</w:t>
      </w:r>
      <w:r w:rsidR="00A20181">
        <w:rPr>
          <w:rFonts w:ascii="Cambria" w:eastAsia="Times New Roman" w:hAnsi="Cambria" w:cs="Times New Roman"/>
        </w:rPr>
        <w:t>,</w:t>
      </w:r>
      <w:r w:rsidRPr="00C62987">
        <w:rPr>
          <w:rFonts w:ascii="Cambria" w:eastAsia="Times New Roman" w:hAnsi="Cambria" w:cs="Times New Roman"/>
        </w:rPr>
        <w:t xml:space="preserve"> conforme segue:</w:t>
      </w:r>
    </w:p>
    <w:p w14:paraId="0E2734F4" w14:textId="06CAE82A" w:rsidR="00B45AFE" w:rsidRDefault="00B45AFE"/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93"/>
        <w:gridCol w:w="808"/>
        <w:gridCol w:w="3244"/>
        <w:gridCol w:w="931"/>
        <w:gridCol w:w="723"/>
        <w:gridCol w:w="1050"/>
        <w:gridCol w:w="1048"/>
      </w:tblGrid>
      <w:tr w:rsidR="006A7AB3" w:rsidRPr="00BD40A0" w14:paraId="2ABE494E" w14:textId="77777777" w:rsidTr="009F5C01">
        <w:trPr>
          <w:trHeight w:val="328"/>
        </w:trPr>
        <w:tc>
          <w:tcPr>
            <w:tcW w:w="294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3DCD5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Item</w:t>
            </w:r>
          </w:p>
        </w:tc>
        <w:tc>
          <w:tcPr>
            <w:tcW w:w="483" w:type="pct"/>
            <w:shd w:val="clear" w:color="auto" w:fill="D9D9D9"/>
          </w:tcPr>
          <w:p w14:paraId="371BC633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D40A0">
              <w:rPr>
                <w:rFonts w:ascii="Cambria" w:hAnsi="Cambria"/>
                <w:sz w:val="20"/>
                <w:szCs w:val="20"/>
              </w:rPr>
              <w:t>Catmat</w:t>
            </w:r>
            <w:proofErr w:type="spellEnd"/>
          </w:p>
        </w:tc>
        <w:tc>
          <w:tcPr>
            <w:tcW w:w="437" w:type="pct"/>
            <w:shd w:val="clear" w:color="auto" w:fill="D9D9D9"/>
          </w:tcPr>
          <w:p w14:paraId="3F8F6A45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Código</w:t>
            </w:r>
          </w:p>
        </w:tc>
        <w:tc>
          <w:tcPr>
            <w:tcW w:w="1755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CA770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Descrição</w:t>
            </w:r>
          </w:p>
        </w:tc>
        <w:tc>
          <w:tcPr>
            <w:tcW w:w="504" w:type="pct"/>
            <w:shd w:val="clear" w:color="auto" w:fill="D9D9D9"/>
          </w:tcPr>
          <w:p w14:paraId="40E073BD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Unidade</w:t>
            </w:r>
          </w:p>
        </w:tc>
        <w:tc>
          <w:tcPr>
            <w:tcW w:w="391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503D5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D40A0">
              <w:rPr>
                <w:rFonts w:ascii="Cambria" w:hAnsi="Cambria"/>
                <w:sz w:val="20"/>
                <w:szCs w:val="20"/>
              </w:rPr>
              <w:t>Qtd</w:t>
            </w:r>
            <w:proofErr w:type="spellEnd"/>
            <w:r w:rsidRPr="00BD40A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68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0EAFB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Valor unitário R$</w:t>
            </w:r>
          </w:p>
        </w:tc>
        <w:tc>
          <w:tcPr>
            <w:tcW w:w="567" w:type="pct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3688B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Valor total R$</w:t>
            </w:r>
          </w:p>
        </w:tc>
      </w:tr>
      <w:tr w:rsidR="006A7AB3" w:rsidRPr="00BD40A0" w14:paraId="709022F2" w14:textId="77777777" w:rsidTr="009F5C01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94" w:type="pct"/>
          </w:tcPr>
          <w:p w14:paraId="610F00A3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14:paraId="17985C1D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613723</w:t>
            </w:r>
          </w:p>
        </w:tc>
        <w:tc>
          <w:tcPr>
            <w:tcW w:w="437" w:type="pct"/>
          </w:tcPr>
          <w:p w14:paraId="4B12716B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99602</w:t>
            </w:r>
          </w:p>
        </w:tc>
        <w:tc>
          <w:tcPr>
            <w:tcW w:w="1755" w:type="pct"/>
            <w:vAlign w:val="center"/>
          </w:tcPr>
          <w:p w14:paraId="1D95E825" w14:textId="77777777" w:rsidR="006A7AB3" w:rsidRPr="00BD40A0" w:rsidRDefault="006A7AB3" w:rsidP="009F5C01">
            <w:pPr>
              <w:pStyle w:val="SemEspaamen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 xml:space="preserve">Cabo HDMI 2.0 High </w:t>
            </w:r>
            <w:proofErr w:type="spellStart"/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>Speed</w:t>
            </w:r>
            <w:proofErr w:type="spellEnd"/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Pr="00BD40A0">
              <w:rPr>
                <w:rFonts w:ascii="Cambria" w:hAnsi="Cambria"/>
                <w:sz w:val="20"/>
                <w:szCs w:val="20"/>
              </w:rPr>
              <w:t xml:space="preserve"> Comprimento de 2 metros, suporte </w:t>
            </w:r>
            <w:proofErr w:type="spellStart"/>
            <w:r w:rsidRPr="00BD40A0">
              <w:rPr>
                <w:rFonts w:ascii="Cambria" w:hAnsi="Cambria"/>
                <w:sz w:val="20"/>
                <w:szCs w:val="20"/>
              </w:rPr>
              <w:t>a</w:t>
            </w:r>
            <w:proofErr w:type="spellEnd"/>
            <w:r w:rsidRPr="00BD40A0">
              <w:rPr>
                <w:rFonts w:ascii="Cambria" w:hAnsi="Cambria"/>
                <w:sz w:val="20"/>
                <w:szCs w:val="20"/>
              </w:rPr>
              <w:t xml:space="preserve"> resolução 4K @ 60Hz, 19 pinos, condutores em cobre de alta pureza, blindagem tripla contra interferências e conectores com material resistente à oxidação.</w:t>
            </w:r>
          </w:p>
        </w:tc>
        <w:tc>
          <w:tcPr>
            <w:tcW w:w="504" w:type="pct"/>
          </w:tcPr>
          <w:p w14:paraId="1AF797DB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Unidade  </w:t>
            </w:r>
          </w:p>
        </w:tc>
        <w:tc>
          <w:tcPr>
            <w:tcW w:w="391" w:type="pct"/>
          </w:tcPr>
          <w:p w14:paraId="278959D1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14:paraId="5B4775AD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5F7A4403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6A7AB3" w:rsidRPr="00BD40A0" w14:paraId="084F3E8A" w14:textId="77777777" w:rsidTr="009F5C01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94" w:type="pct"/>
          </w:tcPr>
          <w:p w14:paraId="6499816B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83" w:type="pct"/>
          </w:tcPr>
          <w:p w14:paraId="7006C819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635477</w:t>
            </w:r>
          </w:p>
        </w:tc>
        <w:tc>
          <w:tcPr>
            <w:tcW w:w="437" w:type="pct"/>
          </w:tcPr>
          <w:p w14:paraId="4F376C4E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99603</w:t>
            </w:r>
          </w:p>
        </w:tc>
        <w:tc>
          <w:tcPr>
            <w:tcW w:w="1755" w:type="pct"/>
            <w:vAlign w:val="center"/>
          </w:tcPr>
          <w:p w14:paraId="1C42C4AE" w14:textId="77777777" w:rsidR="006A7AB3" w:rsidRPr="00BD40A0" w:rsidRDefault="006A7AB3" w:rsidP="009F5C01">
            <w:pPr>
              <w:pStyle w:val="SemEspaamen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 xml:space="preserve">Adaptador Conversor </w:t>
            </w:r>
            <w:proofErr w:type="spellStart"/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>DisplayPort</w:t>
            </w:r>
            <w:proofErr w:type="spellEnd"/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 xml:space="preserve"> para HDMI:</w:t>
            </w:r>
            <w:r w:rsidRPr="00BD40A0">
              <w:rPr>
                <w:rFonts w:ascii="Cambria" w:hAnsi="Cambria"/>
                <w:sz w:val="20"/>
                <w:szCs w:val="20"/>
              </w:rPr>
              <w:t xml:space="preserve"> Conectores Macho </w:t>
            </w:r>
            <w:proofErr w:type="spellStart"/>
            <w:r w:rsidRPr="00BD40A0">
              <w:rPr>
                <w:rFonts w:ascii="Cambria" w:hAnsi="Cambria"/>
                <w:sz w:val="20"/>
                <w:szCs w:val="20"/>
              </w:rPr>
              <w:t>DisplayPort</w:t>
            </w:r>
            <w:proofErr w:type="spellEnd"/>
            <w:r w:rsidRPr="00BD40A0">
              <w:rPr>
                <w:rFonts w:ascii="Cambria" w:hAnsi="Cambria"/>
                <w:sz w:val="20"/>
                <w:szCs w:val="20"/>
              </w:rPr>
              <w:t xml:space="preserve"> para Fêmea HDMI, suporte a áudio e vídeo digital, resolução mínima Full HD (1080p), revestimento em PVC ou ABS de alta resistência.</w:t>
            </w:r>
          </w:p>
        </w:tc>
        <w:tc>
          <w:tcPr>
            <w:tcW w:w="504" w:type="pct"/>
          </w:tcPr>
          <w:p w14:paraId="4880009B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CD313C">
              <w:rPr>
                <w:rFonts w:ascii="Cambria" w:hAnsi="Cambria"/>
                <w:sz w:val="20"/>
                <w:szCs w:val="20"/>
              </w:rPr>
              <w:t>Unidade</w:t>
            </w:r>
          </w:p>
        </w:tc>
        <w:tc>
          <w:tcPr>
            <w:tcW w:w="391" w:type="pct"/>
          </w:tcPr>
          <w:p w14:paraId="71A41964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 w:cs="Arial"/>
                <w:sz w:val="20"/>
                <w:szCs w:val="20"/>
              </w:rPr>
              <w:t>05</w:t>
            </w:r>
          </w:p>
        </w:tc>
        <w:tc>
          <w:tcPr>
            <w:tcW w:w="568" w:type="pct"/>
            <w:shd w:val="clear" w:color="auto" w:fill="auto"/>
          </w:tcPr>
          <w:p w14:paraId="3F6EFE6D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2023610F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6A7AB3" w:rsidRPr="00BD40A0" w14:paraId="6827331E" w14:textId="77777777" w:rsidTr="009F5C01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94" w:type="pct"/>
          </w:tcPr>
          <w:p w14:paraId="631EEF8D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14:paraId="34D8CFA3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603510</w:t>
            </w:r>
          </w:p>
        </w:tc>
        <w:tc>
          <w:tcPr>
            <w:tcW w:w="437" w:type="pct"/>
          </w:tcPr>
          <w:p w14:paraId="7CA26AC4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99604</w:t>
            </w:r>
          </w:p>
        </w:tc>
        <w:tc>
          <w:tcPr>
            <w:tcW w:w="1755" w:type="pct"/>
            <w:vAlign w:val="center"/>
          </w:tcPr>
          <w:p w14:paraId="7DE6D723" w14:textId="77777777" w:rsidR="006A7AB3" w:rsidRPr="00BD40A0" w:rsidRDefault="006A7AB3" w:rsidP="009F5C01">
            <w:pPr>
              <w:pStyle w:val="SemEspaamen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>Adaptador HDMI 90º (Tipo L):</w:t>
            </w:r>
            <w:r w:rsidRPr="00BD40A0">
              <w:rPr>
                <w:rFonts w:ascii="Cambria" w:hAnsi="Cambria"/>
                <w:sz w:val="20"/>
                <w:szCs w:val="20"/>
              </w:rPr>
              <w:t xml:space="preserve"> Conector Macho/Fêmea, padrão HDMI 2.0, suporte a resoluções até 4K, design compacto para instalações em espaços reduzidos atrás de monitores ou painéis.</w:t>
            </w:r>
          </w:p>
        </w:tc>
        <w:tc>
          <w:tcPr>
            <w:tcW w:w="504" w:type="pct"/>
          </w:tcPr>
          <w:p w14:paraId="1BD85653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CD313C">
              <w:rPr>
                <w:rFonts w:ascii="Cambria" w:hAnsi="Cambria"/>
                <w:sz w:val="20"/>
                <w:szCs w:val="20"/>
              </w:rPr>
              <w:t>Unidade</w:t>
            </w:r>
          </w:p>
        </w:tc>
        <w:tc>
          <w:tcPr>
            <w:tcW w:w="391" w:type="pct"/>
          </w:tcPr>
          <w:p w14:paraId="55746453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 w:cs="Arial"/>
                <w:sz w:val="20"/>
                <w:szCs w:val="20"/>
              </w:rPr>
              <w:t>05</w:t>
            </w:r>
          </w:p>
        </w:tc>
        <w:tc>
          <w:tcPr>
            <w:tcW w:w="568" w:type="pct"/>
            <w:shd w:val="clear" w:color="auto" w:fill="auto"/>
          </w:tcPr>
          <w:p w14:paraId="6D39AA81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584EF559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6A7AB3" w:rsidRPr="00BD40A0" w14:paraId="3CAA3B85" w14:textId="77777777" w:rsidTr="009F5C01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294" w:type="pct"/>
          </w:tcPr>
          <w:p w14:paraId="42E0F34B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BD40A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4AE26594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458609</w:t>
            </w:r>
          </w:p>
        </w:tc>
        <w:tc>
          <w:tcPr>
            <w:tcW w:w="437" w:type="pct"/>
          </w:tcPr>
          <w:p w14:paraId="6A5FB6BB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99605</w:t>
            </w:r>
          </w:p>
        </w:tc>
        <w:tc>
          <w:tcPr>
            <w:tcW w:w="1755" w:type="pct"/>
            <w:vAlign w:val="center"/>
          </w:tcPr>
          <w:p w14:paraId="74F20736" w14:textId="77777777" w:rsidR="006A7AB3" w:rsidRPr="00BD40A0" w:rsidRDefault="006A7AB3" w:rsidP="009F5C01">
            <w:pPr>
              <w:pStyle w:val="SemEspaamen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/>
                <w:b/>
                <w:bCs/>
                <w:sz w:val="20"/>
                <w:szCs w:val="20"/>
              </w:rPr>
              <w:t>Adaptador USB Wireless Wi-Fi Nano:</w:t>
            </w:r>
            <w:r w:rsidRPr="00BD40A0">
              <w:rPr>
                <w:rFonts w:ascii="Cambria" w:hAnsi="Cambria"/>
                <w:sz w:val="20"/>
                <w:szCs w:val="20"/>
              </w:rPr>
              <w:t xml:space="preserve"> Tecnologia Dual Band (2.4GHz e 5GHz), padrão AC600 (mínimo), conexão USB 2.0, design </w:t>
            </w:r>
            <w:proofErr w:type="spellStart"/>
            <w:r w:rsidRPr="00BD40A0">
              <w:rPr>
                <w:rFonts w:ascii="Cambria" w:hAnsi="Cambria"/>
                <w:sz w:val="20"/>
                <w:szCs w:val="20"/>
              </w:rPr>
              <w:t>ultra-compacto</w:t>
            </w:r>
            <w:proofErr w:type="spellEnd"/>
            <w:r w:rsidRPr="00BD40A0">
              <w:rPr>
                <w:rFonts w:ascii="Cambria" w:hAnsi="Cambria"/>
                <w:sz w:val="20"/>
                <w:szCs w:val="20"/>
              </w:rPr>
              <w:t xml:space="preserve"> (tipo nano), compatível com sistemas operacionais Windows e Linux.</w:t>
            </w:r>
          </w:p>
        </w:tc>
        <w:tc>
          <w:tcPr>
            <w:tcW w:w="504" w:type="pct"/>
          </w:tcPr>
          <w:p w14:paraId="040B964F" w14:textId="77777777" w:rsidR="006A7AB3" w:rsidRPr="00BD40A0" w:rsidRDefault="006A7AB3" w:rsidP="009F5C01">
            <w:pPr>
              <w:pStyle w:val="SemEspaamento"/>
              <w:rPr>
                <w:rFonts w:ascii="Cambria" w:hAnsi="Cambria"/>
                <w:sz w:val="20"/>
                <w:szCs w:val="20"/>
              </w:rPr>
            </w:pPr>
            <w:r w:rsidRPr="00CD313C">
              <w:rPr>
                <w:rFonts w:ascii="Cambria" w:hAnsi="Cambria"/>
                <w:sz w:val="20"/>
                <w:szCs w:val="20"/>
              </w:rPr>
              <w:t>Unidade</w:t>
            </w:r>
          </w:p>
        </w:tc>
        <w:tc>
          <w:tcPr>
            <w:tcW w:w="391" w:type="pct"/>
          </w:tcPr>
          <w:p w14:paraId="4B92198F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sz w:val="20"/>
                <w:szCs w:val="20"/>
              </w:rPr>
            </w:pPr>
            <w:r w:rsidRPr="00BD40A0">
              <w:rPr>
                <w:rFonts w:ascii="Cambria" w:hAnsi="Cambria" w:cs="Arial"/>
                <w:sz w:val="20"/>
                <w:szCs w:val="20"/>
              </w:rPr>
              <w:t>05</w:t>
            </w:r>
          </w:p>
        </w:tc>
        <w:tc>
          <w:tcPr>
            <w:tcW w:w="568" w:type="pct"/>
            <w:shd w:val="clear" w:color="auto" w:fill="auto"/>
          </w:tcPr>
          <w:p w14:paraId="3EEB5A04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65E927D6" w14:textId="77777777" w:rsidR="006A7AB3" w:rsidRPr="00BD40A0" w:rsidRDefault="006A7AB3" w:rsidP="009F5C01">
            <w:pPr>
              <w:pStyle w:val="SemEspaamento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lastRenderedPageBreak/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03348908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_______________________________________________, ______________, ________________de </w:t>
      </w:r>
      <w:r w:rsidR="00041F97">
        <w:rPr>
          <w:rFonts w:ascii="Cambria" w:eastAsia="Times New Roman" w:hAnsi="Cambria" w:cs="Times New Roman"/>
        </w:rPr>
        <w:t>2026.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41F97"/>
    <w:rsid w:val="00072FDD"/>
    <w:rsid w:val="00154135"/>
    <w:rsid w:val="0017526F"/>
    <w:rsid w:val="00192874"/>
    <w:rsid w:val="0022516B"/>
    <w:rsid w:val="002544B2"/>
    <w:rsid w:val="002652A0"/>
    <w:rsid w:val="002C2E09"/>
    <w:rsid w:val="002F6094"/>
    <w:rsid w:val="003F78D8"/>
    <w:rsid w:val="00494700"/>
    <w:rsid w:val="00546017"/>
    <w:rsid w:val="005503C8"/>
    <w:rsid w:val="00557744"/>
    <w:rsid w:val="006A164C"/>
    <w:rsid w:val="006A7AB3"/>
    <w:rsid w:val="00727427"/>
    <w:rsid w:val="00790ECB"/>
    <w:rsid w:val="00795E8C"/>
    <w:rsid w:val="007A3303"/>
    <w:rsid w:val="007C7A2E"/>
    <w:rsid w:val="007D5203"/>
    <w:rsid w:val="008A4F0E"/>
    <w:rsid w:val="00A20181"/>
    <w:rsid w:val="00AF7F9A"/>
    <w:rsid w:val="00B45AFE"/>
    <w:rsid w:val="00B9673D"/>
    <w:rsid w:val="00BB1150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-inline">
    <w:name w:val="math-inline"/>
    <w:basedOn w:val="Fontepargpadro"/>
    <w:rsid w:val="00727427"/>
  </w:style>
  <w:style w:type="character" w:customStyle="1" w:styleId="citation-187">
    <w:name w:val="citation-187"/>
    <w:basedOn w:val="Fontepargpadro"/>
    <w:rsid w:val="00727427"/>
  </w:style>
  <w:style w:type="character" w:customStyle="1" w:styleId="citation-176">
    <w:name w:val="citation-176"/>
    <w:basedOn w:val="Fontepargpadro"/>
    <w:rsid w:val="00727427"/>
  </w:style>
  <w:style w:type="character" w:customStyle="1" w:styleId="citation-175">
    <w:name w:val="citation-175"/>
    <w:basedOn w:val="Fontepargpadro"/>
    <w:rsid w:val="00727427"/>
  </w:style>
  <w:style w:type="character" w:customStyle="1" w:styleId="citation-174">
    <w:name w:val="citation-174"/>
    <w:basedOn w:val="Fontepargpadro"/>
    <w:rsid w:val="00727427"/>
  </w:style>
  <w:style w:type="character" w:customStyle="1" w:styleId="citation-173">
    <w:name w:val="citation-173"/>
    <w:basedOn w:val="Fontepargpadro"/>
    <w:rsid w:val="00727427"/>
  </w:style>
  <w:style w:type="character" w:customStyle="1" w:styleId="citation-172">
    <w:name w:val="citation-172"/>
    <w:basedOn w:val="Fontepargpadro"/>
    <w:rsid w:val="00727427"/>
  </w:style>
  <w:style w:type="character" w:customStyle="1" w:styleId="citation-171">
    <w:name w:val="citation-171"/>
    <w:basedOn w:val="Fontepargpadro"/>
    <w:rsid w:val="00727427"/>
  </w:style>
  <w:style w:type="character" w:customStyle="1" w:styleId="citation-170">
    <w:name w:val="citation-170"/>
    <w:basedOn w:val="Fontepargpadro"/>
    <w:rsid w:val="00727427"/>
  </w:style>
  <w:style w:type="character" w:customStyle="1" w:styleId="citation-169">
    <w:name w:val="citation-169"/>
    <w:basedOn w:val="Fontepargpadro"/>
    <w:rsid w:val="00727427"/>
  </w:style>
  <w:style w:type="character" w:customStyle="1" w:styleId="citation-168">
    <w:name w:val="citation-168"/>
    <w:basedOn w:val="Fontepargpadro"/>
    <w:rsid w:val="00727427"/>
  </w:style>
  <w:style w:type="character" w:customStyle="1" w:styleId="citation-167">
    <w:name w:val="citation-167"/>
    <w:basedOn w:val="Fontepargpadro"/>
    <w:rsid w:val="00727427"/>
  </w:style>
  <w:style w:type="character" w:customStyle="1" w:styleId="citation-166">
    <w:name w:val="citation-166"/>
    <w:basedOn w:val="Fontepargpadro"/>
    <w:rsid w:val="00727427"/>
  </w:style>
  <w:style w:type="character" w:customStyle="1" w:styleId="citation-165">
    <w:name w:val="citation-165"/>
    <w:basedOn w:val="Fontepargpadro"/>
    <w:rsid w:val="00727427"/>
  </w:style>
  <w:style w:type="character" w:customStyle="1" w:styleId="citation-164">
    <w:name w:val="citation-164"/>
    <w:basedOn w:val="Fontepargpadro"/>
    <w:rsid w:val="00727427"/>
  </w:style>
  <w:style w:type="character" w:customStyle="1" w:styleId="citation-163">
    <w:name w:val="citation-163"/>
    <w:basedOn w:val="Fontepargpadro"/>
    <w:rsid w:val="00727427"/>
  </w:style>
  <w:style w:type="character" w:customStyle="1" w:styleId="citation-162">
    <w:name w:val="citation-162"/>
    <w:basedOn w:val="Fontepargpadro"/>
    <w:rsid w:val="00727427"/>
  </w:style>
  <w:style w:type="character" w:customStyle="1" w:styleId="citation-161">
    <w:name w:val="citation-161"/>
    <w:basedOn w:val="Fontepargpadro"/>
    <w:rsid w:val="00727427"/>
  </w:style>
  <w:style w:type="character" w:customStyle="1" w:styleId="citation-160">
    <w:name w:val="citation-160"/>
    <w:basedOn w:val="Fontepargpadro"/>
    <w:rsid w:val="00727427"/>
  </w:style>
  <w:style w:type="character" w:customStyle="1" w:styleId="citation-159">
    <w:name w:val="citation-159"/>
    <w:basedOn w:val="Fontepargpadro"/>
    <w:rsid w:val="00727427"/>
  </w:style>
  <w:style w:type="character" w:customStyle="1" w:styleId="citation-158">
    <w:name w:val="citation-158"/>
    <w:basedOn w:val="Fontepargpadro"/>
    <w:rsid w:val="00727427"/>
  </w:style>
  <w:style w:type="character" w:customStyle="1" w:styleId="citation-157">
    <w:name w:val="citation-157"/>
    <w:basedOn w:val="Fontepargpadro"/>
    <w:rsid w:val="00727427"/>
  </w:style>
  <w:style w:type="character" w:customStyle="1" w:styleId="citation-156">
    <w:name w:val="citation-156"/>
    <w:basedOn w:val="Fontepargpadro"/>
    <w:rsid w:val="00727427"/>
  </w:style>
  <w:style w:type="character" w:customStyle="1" w:styleId="citation-155">
    <w:name w:val="citation-155"/>
    <w:basedOn w:val="Fontepargpadro"/>
    <w:rsid w:val="00727427"/>
  </w:style>
  <w:style w:type="character" w:customStyle="1" w:styleId="citation-87">
    <w:name w:val="citation-87"/>
    <w:basedOn w:val="Fontepargpadro"/>
    <w:rsid w:val="00FC4723"/>
  </w:style>
  <w:style w:type="character" w:customStyle="1" w:styleId="citation-86">
    <w:name w:val="citation-86"/>
    <w:basedOn w:val="Fontepargpadro"/>
    <w:rsid w:val="00FC4723"/>
  </w:style>
  <w:style w:type="character" w:customStyle="1" w:styleId="citation-85">
    <w:name w:val="citation-85"/>
    <w:basedOn w:val="Fontepargpadro"/>
    <w:rsid w:val="00FC4723"/>
  </w:style>
  <w:style w:type="character" w:customStyle="1" w:styleId="citation-84">
    <w:name w:val="citation-84"/>
    <w:basedOn w:val="Fontepargpadro"/>
    <w:rsid w:val="00FC4723"/>
  </w:style>
  <w:style w:type="character" w:customStyle="1" w:styleId="citation-83">
    <w:name w:val="citation-83"/>
    <w:basedOn w:val="Fontepargpadro"/>
    <w:rsid w:val="00FC4723"/>
  </w:style>
  <w:style w:type="character" w:customStyle="1" w:styleId="citation-82">
    <w:name w:val="citation-82"/>
    <w:basedOn w:val="Fontepargpadro"/>
    <w:rsid w:val="00FC4723"/>
  </w:style>
  <w:style w:type="character" w:customStyle="1" w:styleId="citation-81">
    <w:name w:val="citation-81"/>
    <w:basedOn w:val="Fontepargpadro"/>
    <w:rsid w:val="00FC4723"/>
  </w:style>
  <w:style w:type="character" w:customStyle="1" w:styleId="citation-80">
    <w:name w:val="citation-80"/>
    <w:basedOn w:val="Fontepargpadro"/>
    <w:rsid w:val="00FC4723"/>
  </w:style>
  <w:style w:type="table" w:styleId="Tabelacomgrade">
    <w:name w:val="Table Grid"/>
    <w:basedOn w:val="Tabelanormal"/>
    <w:uiPriority w:val="39"/>
    <w:rsid w:val="0055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36</cp:revision>
  <dcterms:created xsi:type="dcterms:W3CDTF">2025-05-09T11:55:00Z</dcterms:created>
  <dcterms:modified xsi:type="dcterms:W3CDTF">2026-03-30T16:37:00Z</dcterms:modified>
</cp:coreProperties>
</file>